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0A73EC" w:rsidRPr="000A73EC" w14:paraId="75A79D7B" w14:textId="77777777" w:rsidTr="00685210">
        <w:tc>
          <w:tcPr>
            <w:tcW w:w="9576" w:type="dxa"/>
            <w:shd w:val="clear" w:color="auto" w:fill="auto"/>
          </w:tcPr>
          <w:p w14:paraId="3A204880" w14:textId="77777777" w:rsidR="000A73EC" w:rsidRPr="000A73EC" w:rsidRDefault="000A73EC" w:rsidP="000A73EC">
            <w:pPr>
              <w:widowControl/>
              <w:tabs>
                <w:tab w:val="left" w:pos="0"/>
                <w:tab w:val="left" w:pos="547"/>
                <w:tab w:val="left" w:pos="936"/>
                <w:tab w:val="left" w:pos="1440"/>
              </w:tabs>
              <w:autoSpaceDE/>
              <w:autoSpaceDN/>
              <w:adjustRightInd/>
              <w:rPr>
                <w:b/>
                <w:bCs/>
                <w:color w:val="FF0000"/>
                <w:sz w:val="22"/>
                <w:szCs w:val="22"/>
              </w:rPr>
            </w:pPr>
          </w:p>
          <w:p w14:paraId="038A2FE5" w14:textId="7B6D8BCD" w:rsidR="000A73EC" w:rsidRPr="000A73EC" w:rsidRDefault="000A73EC" w:rsidP="000A73EC">
            <w:pPr>
              <w:widowControl/>
              <w:tabs>
                <w:tab w:val="left" w:pos="0"/>
                <w:tab w:val="left" w:pos="547"/>
                <w:tab w:val="left" w:pos="936"/>
                <w:tab w:val="left" w:pos="1440"/>
              </w:tabs>
              <w:autoSpaceDE/>
              <w:autoSpaceDN/>
              <w:adjustRightInd/>
              <w:jc w:val="both"/>
              <w:rPr>
                <w:b/>
                <w:bCs/>
                <w:color w:val="FF0000"/>
                <w:sz w:val="22"/>
                <w:szCs w:val="22"/>
                <w:highlight w:val="yellow"/>
              </w:rPr>
            </w:pPr>
            <w:r w:rsidRPr="000A73EC">
              <w:rPr>
                <w:b/>
                <w:bCs/>
                <w:color w:val="FF0000"/>
                <w:sz w:val="22"/>
                <w:szCs w:val="22"/>
                <w:highlight w:val="yellow"/>
              </w:rPr>
              <w:t xml:space="preserve">Note: This shell is a guide for preparing your annual footnotes to the financial statements when filed on the OCBOA Basis.  These footnotes are not all inclusive and might include disclosures not applicable to your </w:t>
            </w:r>
            <w:proofErr w:type="gramStart"/>
            <w:r w:rsidRPr="000A73EC">
              <w:rPr>
                <w:b/>
                <w:bCs/>
                <w:color w:val="FF0000"/>
                <w:sz w:val="22"/>
                <w:szCs w:val="22"/>
                <w:highlight w:val="yellow"/>
              </w:rPr>
              <w:t xml:space="preserve">particular </w:t>
            </w:r>
            <w:r w:rsidR="007E3E70">
              <w:rPr>
                <w:b/>
                <w:bCs/>
                <w:color w:val="FF0000"/>
                <w:sz w:val="22"/>
                <w:szCs w:val="22"/>
                <w:highlight w:val="yellow"/>
              </w:rPr>
              <w:t>Library</w:t>
            </w:r>
            <w:proofErr w:type="gramEnd"/>
            <w:r w:rsidRPr="000A73EC">
              <w:rPr>
                <w:b/>
                <w:bCs/>
                <w:color w:val="FF0000"/>
                <w:sz w:val="22"/>
                <w:szCs w:val="22"/>
                <w:highlight w:val="yellow"/>
              </w:rPr>
              <w:t xml:space="preserve">.  Modify, delete, or add additional disclosures as necessary. </w:t>
            </w:r>
          </w:p>
          <w:p w14:paraId="675C0C0D" w14:textId="77777777" w:rsidR="000A73EC" w:rsidRPr="000A73EC" w:rsidRDefault="000A73EC" w:rsidP="000A73EC">
            <w:pPr>
              <w:widowControl/>
              <w:tabs>
                <w:tab w:val="left" w:pos="0"/>
                <w:tab w:val="left" w:pos="547"/>
                <w:tab w:val="left" w:pos="936"/>
                <w:tab w:val="left" w:pos="1440"/>
              </w:tabs>
              <w:autoSpaceDE/>
              <w:autoSpaceDN/>
              <w:adjustRightInd/>
              <w:jc w:val="both"/>
              <w:rPr>
                <w:b/>
                <w:bCs/>
                <w:color w:val="FF0000"/>
                <w:sz w:val="22"/>
                <w:szCs w:val="22"/>
                <w:highlight w:val="yellow"/>
              </w:rPr>
            </w:pPr>
          </w:p>
          <w:p w14:paraId="514740D6" w14:textId="77777777" w:rsidR="000A73EC" w:rsidRPr="000A73EC" w:rsidRDefault="000A73EC" w:rsidP="000A73EC">
            <w:pPr>
              <w:widowControl/>
              <w:tabs>
                <w:tab w:val="left" w:pos="0"/>
                <w:tab w:val="left" w:pos="547"/>
                <w:tab w:val="left" w:pos="936"/>
                <w:tab w:val="left" w:pos="1440"/>
              </w:tabs>
              <w:autoSpaceDE/>
              <w:autoSpaceDN/>
              <w:adjustRightInd/>
              <w:jc w:val="both"/>
              <w:rPr>
                <w:b/>
                <w:bCs/>
                <w:color w:val="FF0000"/>
                <w:sz w:val="22"/>
                <w:szCs w:val="22"/>
                <w:highlight w:val="yellow"/>
              </w:rPr>
            </w:pPr>
            <w:r w:rsidRPr="000A73EC">
              <w:rPr>
                <w:b/>
                <w:bCs/>
                <w:color w:val="FF0000"/>
                <w:sz w:val="22"/>
                <w:szCs w:val="22"/>
                <w:highlight w:val="yellow"/>
              </w:rPr>
              <w:t>Items highlighted in yellow are provided for guidance purposes only and should be deleted prior to submission.</w:t>
            </w:r>
          </w:p>
          <w:p w14:paraId="358F4415" w14:textId="77777777" w:rsidR="000A73EC" w:rsidRPr="000A73EC" w:rsidRDefault="000A73EC" w:rsidP="000A73EC">
            <w:pPr>
              <w:widowControl/>
              <w:tabs>
                <w:tab w:val="left" w:pos="0"/>
                <w:tab w:val="left" w:pos="547"/>
                <w:tab w:val="left" w:pos="936"/>
                <w:tab w:val="left" w:pos="1440"/>
              </w:tabs>
              <w:autoSpaceDE/>
              <w:autoSpaceDN/>
              <w:adjustRightInd/>
              <w:jc w:val="both"/>
              <w:rPr>
                <w:b/>
                <w:bCs/>
                <w:color w:val="FF0000"/>
                <w:sz w:val="22"/>
                <w:szCs w:val="22"/>
                <w:highlight w:val="yellow"/>
              </w:rPr>
            </w:pPr>
          </w:p>
          <w:p w14:paraId="5433BA83" w14:textId="77777777" w:rsidR="000A73EC" w:rsidRPr="000A73EC" w:rsidRDefault="000A73EC" w:rsidP="000A73EC">
            <w:pPr>
              <w:widowControl/>
              <w:tabs>
                <w:tab w:val="left" w:pos="0"/>
                <w:tab w:val="left" w:pos="547"/>
                <w:tab w:val="left" w:pos="936"/>
                <w:tab w:val="left" w:pos="1440"/>
              </w:tabs>
              <w:autoSpaceDE/>
              <w:autoSpaceDN/>
              <w:adjustRightInd/>
              <w:jc w:val="both"/>
              <w:rPr>
                <w:b/>
                <w:bCs/>
                <w:color w:val="FF0000"/>
                <w:sz w:val="22"/>
                <w:szCs w:val="22"/>
                <w:highlight w:val="yellow"/>
              </w:rPr>
            </w:pPr>
            <w:r w:rsidRPr="000A73EC">
              <w:rPr>
                <w:b/>
                <w:bCs/>
                <w:color w:val="FF0000"/>
                <w:sz w:val="22"/>
                <w:szCs w:val="22"/>
                <w:highlight w:val="yellow"/>
              </w:rPr>
              <w:t xml:space="preserve">See GASB Codification 2300 – Notes to the Financial Statements. As explained in paragraph </w:t>
            </w:r>
            <w:r w:rsidRPr="000A73EC">
              <w:rPr>
                <w:b/>
                <w:color w:val="FF0000"/>
                <w:sz w:val="22"/>
                <w:szCs w:val="22"/>
                <w:highlight w:val="yellow"/>
              </w:rPr>
              <w:t>.102, the notes to the financial statements should communicate information essential for fair presentation of the basic financial statements that is not displayed on the face of the financial statements. As such, the notes form an integral part of the basic financial statements. Notes should focus on the primary government—specifically, its governmental activities, business-type activities, major funds, and nonmajor funds in the aggregate. Information about the government's discretely presented component units should be presented as discussed in paragraph .105.</w:t>
            </w:r>
          </w:p>
          <w:p w14:paraId="5F87081B" w14:textId="77777777" w:rsidR="000A73EC" w:rsidRPr="000A73EC" w:rsidRDefault="000A73EC" w:rsidP="000A73EC">
            <w:pPr>
              <w:widowControl/>
              <w:tabs>
                <w:tab w:val="center" w:pos="4680"/>
              </w:tabs>
              <w:autoSpaceDE/>
              <w:autoSpaceDN/>
              <w:adjustRightInd/>
              <w:jc w:val="both"/>
              <w:rPr>
                <w:b/>
                <w:sz w:val="22"/>
                <w:szCs w:val="22"/>
              </w:rPr>
            </w:pPr>
          </w:p>
          <w:p w14:paraId="5A4EEFD0" w14:textId="349940F8" w:rsidR="000A73EC" w:rsidRPr="000A73EC" w:rsidRDefault="000A73EC" w:rsidP="000A73EC">
            <w:pPr>
              <w:widowControl/>
              <w:tabs>
                <w:tab w:val="center" w:pos="4680"/>
              </w:tabs>
              <w:autoSpaceDE/>
              <w:autoSpaceDN/>
              <w:adjustRightInd/>
              <w:jc w:val="both"/>
              <w:rPr>
                <w:b/>
                <w:color w:val="FF0000"/>
                <w:sz w:val="22"/>
                <w:szCs w:val="22"/>
              </w:rPr>
            </w:pPr>
            <w:r w:rsidRPr="000A73EC">
              <w:rPr>
                <w:b/>
                <w:color w:val="FF0000"/>
                <w:sz w:val="22"/>
                <w:szCs w:val="22"/>
                <w:highlight w:val="green"/>
              </w:rPr>
              <w:t xml:space="preserve">Items highlighted in green are items that are generic, and should be reviewed for entity specific information and modified to report specifics for your </w:t>
            </w:r>
            <w:r w:rsidR="007E3E70">
              <w:rPr>
                <w:b/>
                <w:color w:val="FF0000"/>
                <w:sz w:val="22"/>
                <w:szCs w:val="22"/>
                <w:highlight w:val="green"/>
              </w:rPr>
              <w:t>library</w:t>
            </w:r>
            <w:r w:rsidRPr="000A73EC">
              <w:rPr>
                <w:b/>
                <w:color w:val="FF0000"/>
                <w:sz w:val="22"/>
                <w:szCs w:val="22"/>
                <w:highlight w:val="green"/>
              </w:rPr>
              <w:t>.</w:t>
            </w:r>
          </w:p>
          <w:p w14:paraId="2152F002" w14:textId="77777777" w:rsidR="000A73EC" w:rsidRPr="000A73EC" w:rsidRDefault="000A73EC" w:rsidP="000A73EC">
            <w:pPr>
              <w:widowControl/>
              <w:tabs>
                <w:tab w:val="center" w:pos="4680"/>
              </w:tabs>
              <w:autoSpaceDE/>
              <w:autoSpaceDN/>
              <w:adjustRightInd/>
              <w:jc w:val="both"/>
              <w:rPr>
                <w:b/>
                <w:color w:val="FF0000"/>
                <w:sz w:val="22"/>
                <w:szCs w:val="22"/>
              </w:rPr>
            </w:pPr>
          </w:p>
          <w:p w14:paraId="05CE305B" w14:textId="77BD6C8D" w:rsidR="000A73EC" w:rsidRPr="000A73EC" w:rsidRDefault="000A73EC" w:rsidP="000A73EC">
            <w:pPr>
              <w:widowControl/>
              <w:tabs>
                <w:tab w:val="center" w:pos="4680"/>
              </w:tabs>
              <w:autoSpaceDE/>
              <w:autoSpaceDN/>
              <w:adjustRightInd/>
              <w:jc w:val="both"/>
              <w:rPr>
                <w:b/>
                <w:color w:val="FF0000"/>
                <w:sz w:val="22"/>
                <w:szCs w:val="22"/>
              </w:rPr>
            </w:pPr>
            <w:r w:rsidRPr="000A73EC">
              <w:rPr>
                <w:b/>
                <w:color w:val="FF0000"/>
                <w:sz w:val="22"/>
                <w:szCs w:val="22"/>
              </w:rPr>
              <w:t>In this sample 20CY means current year and 20PY means prior year and would be replaced with the four</w:t>
            </w:r>
            <w:r w:rsidR="00B91557">
              <w:rPr>
                <w:b/>
                <w:color w:val="FF0000"/>
                <w:sz w:val="22"/>
                <w:szCs w:val="22"/>
              </w:rPr>
              <w:t>-</w:t>
            </w:r>
            <w:r w:rsidRPr="000A73EC">
              <w:rPr>
                <w:b/>
                <w:color w:val="FF0000"/>
                <w:sz w:val="22"/>
                <w:szCs w:val="22"/>
              </w:rPr>
              <w:t xml:space="preserve">digit current year (for example </w:t>
            </w:r>
            <w:r w:rsidRPr="0088625D">
              <w:rPr>
                <w:b/>
                <w:color w:val="FF0000"/>
                <w:sz w:val="22"/>
                <w:szCs w:val="22"/>
                <w:highlight w:val="cyan"/>
              </w:rPr>
              <w:t>202</w:t>
            </w:r>
            <w:r w:rsidR="00F34BC0" w:rsidRPr="00B91557">
              <w:rPr>
                <w:b/>
                <w:color w:val="FF0000"/>
                <w:sz w:val="22"/>
                <w:szCs w:val="22"/>
                <w:highlight w:val="cyan"/>
              </w:rPr>
              <w:t>4</w:t>
            </w:r>
            <w:r w:rsidRPr="000A73EC">
              <w:rPr>
                <w:b/>
                <w:color w:val="FF0000"/>
                <w:sz w:val="22"/>
                <w:szCs w:val="22"/>
              </w:rPr>
              <w:t>) or four</w:t>
            </w:r>
            <w:r w:rsidR="006A773B">
              <w:rPr>
                <w:b/>
                <w:color w:val="FF0000"/>
                <w:sz w:val="22"/>
                <w:szCs w:val="22"/>
              </w:rPr>
              <w:t>-</w:t>
            </w:r>
            <w:r w:rsidRPr="000A73EC">
              <w:rPr>
                <w:b/>
                <w:color w:val="FF0000"/>
                <w:sz w:val="22"/>
                <w:szCs w:val="22"/>
              </w:rPr>
              <w:t xml:space="preserve">digit prior year (for example </w:t>
            </w:r>
            <w:r w:rsidRPr="0088625D">
              <w:rPr>
                <w:b/>
                <w:color w:val="FF0000"/>
                <w:sz w:val="22"/>
                <w:szCs w:val="22"/>
                <w:highlight w:val="cyan"/>
              </w:rPr>
              <w:t>202</w:t>
            </w:r>
            <w:r w:rsidR="00F34BC0" w:rsidRPr="00B91557">
              <w:rPr>
                <w:b/>
                <w:color w:val="FF0000"/>
                <w:sz w:val="22"/>
                <w:szCs w:val="22"/>
                <w:highlight w:val="cyan"/>
              </w:rPr>
              <w:t>3</w:t>
            </w:r>
            <w:r w:rsidRPr="000A73EC">
              <w:rPr>
                <w:b/>
                <w:color w:val="FF0000"/>
                <w:sz w:val="22"/>
                <w:szCs w:val="22"/>
              </w:rPr>
              <w:t>).</w:t>
            </w:r>
          </w:p>
          <w:p w14:paraId="5221CC4E" w14:textId="77777777" w:rsidR="000A73EC" w:rsidRPr="000A73EC" w:rsidRDefault="000A73EC" w:rsidP="000A73EC">
            <w:pPr>
              <w:widowControl/>
              <w:tabs>
                <w:tab w:val="center" w:pos="4680"/>
              </w:tabs>
              <w:autoSpaceDE/>
              <w:autoSpaceDN/>
              <w:adjustRightInd/>
              <w:jc w:val="both"/>
              <w:rPr>
                <w:b/>
                <w:sz w:val="22"/>
                <w:szCs w:val="22"/>
              </w:rPr>
            </w:pPr>
          </w:p>
        </w:tc>
      </w:tr>
    </w:tbl>
    <w:p w14:paraId="3A516D06" w14:textId="77777777" w:rsidR="000A73EC" w:rsidRPr="000A73EC" w:rsidRDefault="000A73EC" w:rsidP="000A73EC">
      <w:pPr>
        <w:widowControl/>
        <w:autoSpaceDE/>
        <w:autoSpaceDN/>
        <w:adjustRightInd/>
        <w:rPr>
          <w:b/>
          <w:sz w:val="22"/>
          <w:szCs w:val="22"/>
        </w:rPr>
      </w:pPr>
    </w:p>
    <w:p w14:paraId="1C848F35" w14:textId="77777777" w:rsidR="00C26EC3" w:rsidRDefault="00C26EC3" w:rsidP="00C26EC3">
      <w:pPr>
        <w:jc w:val="both"/>
        <w:rPr>
          <w:b/>
          <w:i/>
          <w:sz w:val="22"/>
          <w:szCs w:val="22"/>
          <w:highlight w:val="cyan"/>
        </w:rPr>
      </w:pPr>
      <w:r w:rsidRPr="001241E6">
        <w:rPr>
          <w:b/>
          <w:i/>
          <w:sz w:val="22"/>
          <w:szCs w:val="22"/>
          <w:highlight w:val="cyan"/>
        </w:rPr>
        <w:t xml:space="preserve">Aqua Highlights </w:t>
      </w:r>
      <w:r>
        <w:rPr>
          <w:b/>
          <w:i/>
          <w:sz w:val="22"/>
          <w:szCs w:val="22"/>
          <w:highlight w:val="cyan"/>
        </w:rPr>
        <w:t xml:space="preserve">are 2024 </w:t>
      </w:r>
      <w:r w:rsidRPr="001241E6">
        <w:rPr>
          <w:b/>
          <w:i/>
          <w:sz w:val="22"/>
          <w:szCs w:val="22"/>
          <w:highlight w:val="cyan"/>
        </w:rPr>
        <w:t>updates.</w:t>
      </w:r>
    </w:p>
    <w:p w14:paraId="24769628" w14:textId="77777777" w:rsidR="00C26EC3" w:rsidRPr="00AC26C0" w:rsidRDefault="00C26EC3" w:rsidP="00C26EC3">
      <w:pPr>
        <w:widowControl/>
        <w:numPr>
          <w:ilvl w:val="0"/>
          <w:numId w:val="14"/>
        </w:numPr>
        <w:autoSpaceDE/>
        <w:autoSpaceDN/>
        <w:adjustRightInd/>
        <w:jc w:val="both"/>
        <w:rPr>
          <w:b/>
          <w:i/>
          <w:sz w:val="22"/>
          <w:szCs w:val="22"/>
          <w:highlight w:val="cyan"/>
        </w:rPr>
      </w:pPr>
      <w:r w:rsidRPr="00AC26C0">
        <w:rPr>
          <w:b/>
          <w:i/>
          <w:sz w:val="22"/>
          <w:szCs w:val="22"/>
          <w:highlight w:val="cyan"/>
        </w:rPr>
        <w:t>Where these highlights are included within yellow highlighted areas, this information is for reference only and should be deleted prior to submission.</w:t>
      </w:r>
    </w:p>
    <w:p w14:paraId="746B5552" w14:textId="77777777" w:rsidR="00C26EC3" w:rsidRPr="00AC26C0" w:rsidRDefault="00C26EC3" w:rsidP="00C26EC3">
      <w:pPr>
        <w:widowControl/>
        <w:numPr>
          <w:ilvl w:val="0"/>
          <w:numId w:val="14"/>
        </w:numPr>
        <w:autoSpaceDE/>
        <w:autoSpaceDN/>
        <w:adjustRightInd/>
        <w:jc w:val="both"/>
        <w:rPr>
          <w:b/>
          <w:i/>
          <w:sz w:val="22"/>
          <w:szCs w:val="22"/>
          <w:highlight w:val="cyan"/>
        </w:rPr>
      </w:pPr>
      <w:r w:rsidRPr="00AC26C0">
        <w:rPr>
          <w:b/>
          <w:i/>
          <w:sz w:val="22"/>
          <w:szCs w:val="22"/>
          <w:highlight w:val="cyan"/>
        </w:rPr>
        <w:t>Where these highlights are included within green highlighted areas, this information should be reviewed and modified to report specifics for your entity.</w:t>
      </w:r>
    </w:p>
    <w:p w14:paraId="54B50DFE" w14:textId="77777777" w:rsidR="00C26EC3" w:rsidRDefault="00C26EC3" w:rsidP="00C26EC3">
      <w:pPr>
        <w:widowControl/>
        <w:numPr>
          <w:ilvl w:val="0"/>
          <w:numId w:val="14"/>
        </w:numPr>
        <w:autoSpaceDE/>
        <w:autoSpaceDN/>
        <w:adjustRightInd/>
        <w:jc w:val="both"/>
        <w:rPr>
          <w:b/>
          <w:i/>
          <w:sz w:val="22"/>
          <w:szCs w:val="22"/>
        </w:rPr>
      </w:pPr>
      <w:r w:rsidRPr="00AC26C0">
        <w:rPr>
          <w:b/>
          <w:i/>
          <w:sz w:val="22"/>
          <w:szCs w:val="22"/>
          <w:highlight w:val="cyan"/>
        </w:rPr>
        <w:t>Where these highlights are not within another color, you will need to review to determine if this applies to your specific entity, and modify or delete.</w:t>
      </w:r>
    </w:p>
    <w:p w14:paraId="040C725A" w14:textId="77777777" w:rsidR="003E1671" w:rsidRDefault="003E1671" w:rsidP="003E1671">
      <w:pPr>
        <w:widowControl/>
        <w:numPr>
          <w:ilvl w:val="0"/>
          <w:numId w:val="14"/>
        </w:numPr>
        <w:autoSpaceDE/>
        <w:autoSpaceDN/>
        <w:adjustRightInd/>
        <w:jc w:val="both"/>
        <w:rPr>
          <w:b/>
          <w:i/>
          <w:sz w:val="22"/>
          <w:szCs w:val="22"/>
          <w:highlight w:val="cyan"/>
        </w:rPr>
      </w:pPr>
      <w:r>
        <w:rPr>
          <w:b/>
          <w:i/>
          <w:sz w:val="22"/>
          <w:szCs w:val="22"/>
          <w:highlight w:val="cyan"/>
        </w:rPr>
        <w:t>Note 22 has been expanded updated to reflect changes due to GASB 100.  Headings that are highlighted in blue represent new disclosure items.</w:t>
      </w:r>
    </w:p>
    <w:p w14:paraId="40E6B5FF" w14:textId="53E86567" w:rsidR="00C26EC3" w:rsidRPr="005058A0" w:rsidRDefault="00C26EC3" w:rsidP="00C26EC3">
      <w:pPr>
        <w:widowControl/>
        <w:numPr>
          <w:ilvl w:val="0"/>
          <w:numId w:val="14"/>
        </w:numPr>
        <w:autoSpaceDE/>
        <w:autoSpaceDN/>
        <w:adjustRightInd/>
        <w:jc w:val="both"/>
        <w:rPr>
          <w:b/>
          <w:i/>
          <w:sz w:val="22"/>
          <w:szCs w:val="22"/>
          <w:highlight w:val="cyan"/>
        </w:rPr>
      </w:pPr>
      <w:r w:rsidRPr="00537B56">
        <w:rPr>
          <w:b/>
          <w:i/>
          <w:sz w:val="22"/>
          <w:szCs w:val="22"/>
          <w:highlight w:val="cyan"/>
        </w:rPr>
        <w:t xml:space="preserve">Please note, </w:t>
      </w:r>
      <w:proofErr w:type="gramStart"/>
      <w:r w:rsidRPr="00537B56">
        <w:rPr>
          <w:b/>
          <w:i/>
          <w:sz w:val="22"/>
          <w:szCs w:val="22"/>
          <w:highlight w:val="cyan"/>
        </w:rPr>
        <w:t>Note</w:t>
      </w:r>
      <w:proofErr w:type="gramEnd"/>
      <w:r w:rsidRPr="00537B56">
        <w:rPr>
          <w:b/>
          <w:i/>
          <w:sz w:val="22"/>
          <w:szCs w:val="22"/>
          <w:highlight w:val="cyan"/>
        </w:rPr>
        <w:t xml:space="preserve"> 2</w:t>
      </w:r>
      <w:r w:rsidR="00CD12B1">
        <w:rPr>
          <w:b/>
          <w:i/>
          <w:sz w:val="22"/>
          <w:szCs w:val="22"/>
          <w:highlight w:val="cyan"/>
        </w:rPr>
        <w:t>4</w:t>
      </w:r>
      <w:r w:rsidRPr="00537B56">
        <w:rPr>
          <w:b/>
          <w:i/>
          <w:sz w:val="22"/>
          <w:szCs w:val="22"/>
          <w:highlight w:val="cyan"/>
        </w:rPr>
        <w:t xml:space="preserve"> related to COVID-19 has been </w:t>
      </w:r>
      <w:r>
        <w:rPr>
          <w:b/>
          <w:i/>
          <w:sz w:val="22"/>
          <w:szCs w:val="22"/>
          <w:highlight w:val="cyan"/>
        </w:rPr>
        <w:t>updated</w:t>
      </w:r>
      <w:r w:rsidRPr="00537B56">
        <w:rPr>
          <w:b/>
          <w:i/>
          <w:sz w:val="22"/>
          <w:szCs w:val="22"/>
          <w:highlight w:val="cyan"/>
        </w:rPr>
        <w:t>.</w:t>
      </w:r>
    </w:p>
    <w:p w14:paraId="6DE0C09D" w14:textId="77777777" w:rsidR="00C26EC3" w:rsidRDefault="00C26EC3" w:rsidP="00C26EC3">
      <w:pPr>
        <w:jc w:val="both"/>
        <w:rPr>
          <w:i/>
          <w:sz w:val="22"/>
          <w:szCs w:val="22"/>
          <w:highlight w:val="yellow"/>
        </w:rPr>
      </w:pPr>
    </w:p>
    <w:p w14:paraId="624A4417" w14:textId="77777777" w:rsidR="00C26EC3" w:rsidRDefault="00C26EC3" w:rsidP="00C26EC3">
      <w:pPr>
        <w:jc w:val="both"/>
        <w:rPr>
          <w:i/>
          <w:sz w:val="22"/>
          <w:szCs w:val="22"/>
          <w:highlight w:val="cyan"/>
          <w:lang w:eastAsia="ja-JP"/>
        </w:rPr>
      </w:pPr>
      <w:r w:rsidRPr="007476EF">
        <w:rPr>
          <w:i/>
          <w:sz w:val="22"/>
          <w:szCs w:val="22"/>
          <w:highlight w:val="cyan"/>
          <w:lang w:eastAsia="ja-JP"/>
        </w:rPr>
        <w:t xml:space="preserve">Other GASB </w:t>
      </w:r>
      <w:r>
        <w:rPr>
          <w:i/>
          <w:sz w:val="22"/>
          <w:szCs w:val="22"/>
          <w:highlight w:val="cyan"/>
          <w:lang w:eastAsia="ja-JP"/>
        </w:rPr>
        <w:t>p</w:t>
      </w:r>
      <w:r w:rsidRPr="007476EF">
        <w:rPr>
          <w:i/>
          <w:sz w:val="22"/>
          <w:szCs w:val="22"/>
          <w:highlight w:val="cyan"/>
          <w:lang w:eastAsia="ja-JP"/>
        </w:rPr>
        <w:t xml:space="preserve">ronouncements to </w:t>
      </w:r>
      <w:r>
        <w:rPr>
          <w:i/>
          <w:sz w:val="22"/>
          <w:szCs w:val="22"/>
          <w:highlight w:val="cyan"/>
          <w:lang w:eastAsia="ja-JP"/>
        </w:rPr>
        <w:t>c</w:t>
      </w:r>
      <w:r w:rsidRPr="007476EF">
        <w:rPr>
          <w:i/>
          <w:sz w:val="22"/>
          <w:szCs w:val="22"/>
          <w:highlight w:val="cyan"/>
          <w:lang w:eastAsia="ja-JP"/>
        </w:rPr>
        <w:t>onsider</w:t>
      </w:r>
      <w:r>
        <w:rPr>
          <w:i/>
          <w:sz w:val="22"/>
          <w:szCs w:val="22"/>
          <w:highlight w:val="cyan"/>
          <w:lang w:eastAsia="ja-JP"/>
        </w:rPr>
        <w:t xml:space="preserve"> include</w:t>
      </w:r>
      <w:r w:rsidRPr="007476EF">
        <w:rPr>
          <w:i/>
          <w:sz w:val="22"/>
          <w:szCs w:val="22"/>
          <w:highlight w:val="cyan"/>
          <w:lang w:eastAsia="ja-JP"/>
        </w:rPr>
        <w:t>:</w:t>
      </w:r>
    </w:p>
    <w:p w14:paraId="56230656" w14:textId="77777777" w:rsidR="00C26EC3" w:rsidRDefault="00C26EC3" w:rsidP="00C26EC3">
      <w:pPr>
        <w:jc w:val="both"/>
        <w:rPr>
          <w:i/>
          <w:sz w:val="22"/>
          <w:szCs w:val="22"/>
          <w:highlight w:val="cyan"/>
          <w:lang w:eastAsia="ja-JP"/>
        </w:rPr>
      </w:pPr>
    </w:p>
    <w:p w14:paraId="18B7053C" w14:textId="77777777" w:rsidR="00C26EC3" w:rsidRDefault="00C26EC3" w:rsidP="00C26EC3">
      <w:pPr>
        <w:ind w:left="720"/>
        <w:jc w:val="both"/>
        <w:rPr>
          <w:i/>
          <w:sz w:val="22"/>
          <w:szCs w:val="22"/>
          <w:lang w:eastAsia="ja-JP"/>
        </w:rPr>
      </w:pPr>
      <w:r w:rsidRPr="00594C34">
        <w:rPr>
          <w:i/>
          <w:sz w:val="22"/>
          <w:szCs w:val="22"/>
          <w:highlight w:val="cyan"/>
          <w:lang w:eastAsia="ja-JP"/>
        </w:rPr>
        <w:t>GASB 9</w:t>
      </w:r>
      <w:r>
        <w:rPr>
          <w:i/>
          <w:sz w:val="22"/>
          <w:szCs w:val="22"/>
          <w:highlight w:val="cyan"/>
          <w:lang w:eastAsia="ja-JP"/>
        </w:rPr>
        <w:t>9</w:t>
      </w:r>
      <w:r w:rsidRPr="00594C34">
        <w:rPr>
          <w:i/>
          <w:sz w:val="22"/>
          <w:szCs w:val="22"/>
          <w:highlight w:val="cyan"/>
          <w:lang w:eastAsia="ja-JP"/>
        </w:rPr>
        <w:t xml:space="preserve">, </w:t>
      </w:r>
      <w:r>
        <w:rPr>
          <w:i/>
          <w:sz w:val="22"/>
          <w:szCs w:val="22"/>
          <w:highlight w:val="cyan"/>
          <w:lang w:eastAsia="ja-JP"/>
        </w:rPr>
        <w:t>as it relates to derivatives *</w:t>
      </w:r>
      <w:r w:rsidRPr="00594C34">
        <w:rPr>
          <w:i/>
          <w:sz w:val="22"/>
          <w:szCs w:val="22"/>
          <w:highlight w:val="cyan"/>
          <w:lang w:eastAsia="ja-JP"/>
        </w:rPr>
        <w:t>*</w:t>
      </w:r>
    </w:p>
    <w:p w14:paraId="4050892B" w14:textId="77777777" w:rsidR="00C26EC3" w:rsidRDefault="00C26EC3" w:rsidP="00C26EC3">
      <w:pPr>
        <w:ind w:left="720"/>
        <w:jc w:val="both"/>
        <w:rPr>
          <w:i/>
          <w:sz w:val="22"/>
          <w:szCs w:val="22"/>
          <w:lang w:eastAsia="ja-JP"/>
        </w:rPr>
      </w:pPr>
    </w:p>
    <w:p w14:paraId="6CAAFD33" w14:textId="77777777" w:rsidR="00C26EC3" w:rsidRDefault="00C26EC3" w:rsidP="00C26EC3">
      <w:pPr>
        <w:ind w:left="720"/>
        <w:jc w:val="both"/>
        <w:rPr>
          <w:sz w:val="22"/>
          <w:szCs w:val="22"/>
        </w:rPr>
      </w:pPr>
      <w:r w:rsidRPr="00D74332">
        <w:rPr>
          <w:i/>
          <w:sz w:val="22"/>
          <w:szCs w:val="22"/>
          <w:highlight w:val="cyan"/>
          <w:lang w:eastAsia="ja-JP"/>
        </w:rPr>
        <w:t xml:space="preserve">GASB 100, Accounting changes and error corrections </w:t>
      </w:r>
      <w:r w:rsidRPr="000D02E6">
        <w:rPr>
          <w:i/>
          <w:sz w:val="22"/>
          <w:szCs w:val="22"/>
          <w:highlight w:val="cyan"/>
          <w:lang w:eastAsia="ja-JP"/>
        </w:rPr>
        <w:t>** See</w:t>
      </w:r>
      <w:r w:rsidRPr="0042347B">
        <w:rPr>
          <w:i/>
          <w:sz w:val="22"/>
          <w:szCs w:val="22"/>
          <w:highlight w:val="cyan"/>
          <w:lang w:eastAsia="ja-JP"/>
        </w:rPr>
        <w:t xml:space="preserve"> </w:t>
      </w:r>
      <w:hyperlink r:id="rId11" w:history="1">
        <w:r w:rsidRPr="0042347B">
          <w:rPr>
            <w:color w:val="0000FF"/>
            <w:sz w:val="22"/>
            <w:szCs w:val="22"/>
            <w:highlight w:val="cyan"/>
            <w:u w:val="single"/>
          </w:rPr>
          <w:t>GASB 10</w:t>
        </w:r>
        <w:r w:rsidRPr="0042347B">
          <w:rPr>
            <w:color w:val="0000FF"/>
            <w:sz w:val="22"/>
            <w:szCs w:val="22"/>
            <w:highlight w:val="cyan"/>
            <w:u w:val="single"/>
          </w:rPr>
          <w:t>0</w:t>
        </w:r>
        <w:r w:rsidRPr="0042347B">
          <w:rPr>
            <w:color w:val="0000FF"/>
            <w:sz w:val="22"/>
            <w:szCs w:val="22"/>
            <w:highlight w:val="cyan"/>
            <w:u w:val="single"/>
          </w:rPr>
          <w:t xml:space="preserve"> FAQs</w:t>
        </w:r>
      </w:hyperlink>
    </w:p>
    <w:p w14:paraId="76C091C6" w14:textId="77777777" w:rsidR="00C26EC3" w:rsidRDefault="00C26EC3" w:rsidP="00C26EC3">
      <w:pPr>
        <w:ind w:left="720"/>
        <w:jc w:val="both"/>
        <w:rPr>
          <w:i/>
          <w:sz w:val="22"/>
          <w:szCs w:val="22"/>
          <w:lang w:eastAsia="ja-JP"/>
        </w:rPr>
      </w:pPr>
    </w:p>
    <w:p w14:paraId="54A549B2" w14:textId="77777777" w:rsidR="00C26EC3" w:rsidRPr="0042347B" w:rsidRDefault="00C26EC3" w:rsidP="00C26EC3">
      <w:pPr>
        <w:ind w:left="720"/>
        <w:jc w:val="both"/>
        <w:rPr>
          <w:i/>
          <w:sz w:val="22"/>
          <w:szCs w:val="22"/>
          <w:lang w:eastAsia="ja-JP"/>
        </w:rPr>
      </w:pPr>
      <w:r w:rsidRPr="00B53352">
        <w:rPr>
          <w:i/>
          <w:sz w:val="22"/>
          <w:szCs w:val="22"/>
          <w:highlight w:val="cyan"/>
          <w:lang w:eastAsia="ja-JP"/>
        </w:rPr>
        <w:t>GASB 101, Compensated Absences</w:t>
      </w:r>
      <w:r>
        <w:rPr>
          <w:i/>
          <w:sz w:val="22"/>
          <w:szCs w:val="22"/>
          <w:lang w:eastAsia="ja-JP"/>
        </w:rPr>
        <w:t xml:space="preserve"> </w:t>
      </w:r>
    </w:p>
    <w:p w14:paraId="640919BD" w14:textId="77777777" w:rsidR="00C26EC3" w:rsidRDefault="00C26EC3" w:rsidP="00C26EC3">
      <w:pPr>
        <w:ind w:left="720"/>
        <w:jc w:val="both"/>
        <w:rPr>
          <w:i/>
          <w:sz w:val="22"/>
          <w:szCs w:val="22"/>
          <w:lang w:eastAsia="ja-JP"/>
        </w:rPr>
      </w:pPr>
    </w:p>
    <w:p w14:paraId="4C2D4CF6" w14:textId="77777777" w:rsidR="00C26EC3" w:rsidRPr="0042347B" w:rsidRDefault="00C26EC3" w:rsidP="00C26EC3">
      <w:pPr>
        <w:ind w:left="720"/>
        <w:jc w:val="both"/>
        <w:rPr>
          <w:i/>
          <w:sz w:val="22"/>
          <w:szCs w:val="22"/>
          <w:lang w:eastAsia="ja-JP"/>
        </w:rPr>
      </w:pPr>
      <w:r w:rsidRPr="00A13F4A">
        <w:rPr>
          <w:i/>
          <w:sz w:val="22"/>
          <w:szCs w:val="22"/>
          <w:highlight w:val="cyan"/>
          <w:lang w:eastAsia="ja-JP"/>
        </w:rPr>
        <w:t xml:space="preserve">GASB </w:t>
      </w:r>
      <w:r>
        <w:rPr>
          <w:i/>
          <w:sz w:val="22"/>
          <w:szCs w:val="22"/>
          <w:highlight w:val="cyan"/>
          <w:lang w:eastAsia="ja-JP"/>
        </w:rPr>
        <w:t>Implementation Guide No. 2021-1, specific to question 5.1</w:t>
      </w:r>
      <w:r w:rsidRPr="00594C34">
        <w:rPr>
          <w:i/>
          <w:sz w:val="22"/>
          <w:szCs w:val="22"/>
          <w:highlight w:val="cyan"/>
          <w:lang w:eastAsia="ja-JP"/>
        </w:rPr>
        <w:t xml:space="preserve"> </w:t>
      </w:r>
      <w:r w:rsidRPr="000D02E6">
        <w:rPr>
          <w:i/>
          <w:sz w:val="22"/>
          <w:szCs w:val="22"/>
          <w:highlight w:val="cyan"/>
          <w:lang w:eastAsia="ja-JP"/>
        </w:rPr>
        <w:t xml:space="preserve">** </w:t>
      </w:r>
      <w:r w:rsidRPr="0042347B">
        <w:rPr>
          <w:i/>
          <w:sz w:val="22"/>
          <w:szCs w:val="22"/>
          <w:highlight w:val="cyan"/>
          <w:lang w:eastAsia="ja-JP"/>
        </w:rPr>
        <w:t xml:space="preserve">See </w:t>
      </w:r>
      <w:hyperlink r:id="rId12" w:history="1">
        <w:r w:rsidRPr="0042347B">
          <w:rPr>
            <w:color w:val="0000FF"/>
            <w:sz w:val="22"/>
            <w:szCs w:val="22"/>
            <w:highlight w:val="cyan"/>
            <w:u w:val="single"/>
          </w:rPr>
          <w:t xml:space="preserve">Miscellaneous GASB FAQs </w:t>
        </w:r>
      </w:hyperlink>
    </w:p>
    <w:p w14:paraId="00EE6964" w14:textId="77777777" w:rsidR="00C26EC3" w:rsidRDefault="00C26EC3" w:rsidP="00C26EC3">
      <w:pPr>
        <w:ind w:left="720"/>
        <w:jc w:val="both"/>
        <w:rPr>
          <w:i/>
          <w:sz w:val="22"/>
          <w:szCs w:val="22"/>
          <w:lang w:eastAsia="ja-JP"/>
        </w:rPr>
      </w:pPr>
    </w:p>
    <w:p w14:paraId="554DC3A5" w14:textId="77777777" w:rsidR="00C26EC3" w:rsidRDefault="00C26EC3" w:rsidP="00C26EC3">
      <w:pPr>
        <w:ind w:left="720"/>
        <w:jc w:val="both"/>
        <w:rPr>
          <w:i/>
          <w:sz w:val="22"/>
          <w:szCs w:val="22"/>
          <w:lang w:eastAsia="ja-JP"/>
        </w:rPr>
      </w:pPr>
      <w:r w:rsidRPr="00A13F4A">
        <w:rPr>
          <w:i/>
          <w:sz w:val="22"/>
          <w:szCs w:val="22"/>
          <w:highlight w:val="cyan"/>
          <w:lang w:eastAsia="ja-JP"/>
        </w:rPr>
        <w:t xml:space="preserve">GASB </w:t>
      </w:r>
      <w:r>
        <w:rPr>
          <w:i/>
          <w:sz w:val="22"/>
          <w:szCs w:val="22"/>
          <w:highlight w:val="cyan"/>
          <w:lang w:eastAsia="ja-JP"/>
        </w:rPr>
        <w:t>Implementation Guide No. 2023-</w:t>
      </w:r>
      <w:r w:rsidRPr="00D74332">
        <w:rPr>
          <w:i/>
          <w:sz w:val="22"/>
          <w:szCs w:val="22"/>
          <w:highlight w:val="cyan"/>
          <w:lang w:eastAsia="ja-JP"/>
        </w:rPr>
        <w:t>1 **</w:t>
      </w:r>
    </w:p>
    <w:p w14:paraId="23577220" w14:textId="77777777" w:rsidR="00C26EC3" w:rsidRDefault="00C26EC3" w:rsidP="00C26EC3">
      <w:pPr>
        <w:jc w:val="both"/>
        <w:rPr>
          <w:i/>
          <w:sz w:val="22"/>
          <w:szCs w:val="22"/>
          <w:highlight w:val="cyan"/>
          <w:lang w:eastAsia="ja-JP"/>
        </w:rPr>
      </w:pPr>
    </w:p>
    <w:p w14:paraId="5D6C44DC" w14:textId="6CC20B1E" w:rsidR="003244EC" w:rsidRDefault="00C26EC3" w:rsidP="00C26EC3">
      <w:pPr>
        <w:jc w:val="both"/>
        <w:rPr>
          <w:i/>
          <w:sz w:val="22"/>
          <w:szCs w:val="22"/>
          <w:lang w:eastAsia="ja-JP"/>
        </w:rPr>
      </w:pPr>
      <w:r>
        <w:rPr>
          <w:i/>
          <w:sz w:val="22"/>
          <w:szCs w:val="22"/>
          <w:highlight w:val="cyan"/>
          <w:lang w:eastAsia="ja-JP"/>
        </w:rPr>
        <w:t>*Y</w:t>
      </w:r>
      <w:r w:rsidRPr="00A13F4A">
        <w:rPr>
          <w:i/>
          <w:sz w:val="22"/>
          <w:szCs w:val="22"/>
          <w:highlight w:val="cyan"/>
          <w:lang w:eastAsia="ja-JP"/>
        </w:rPr>
        <w:t xml:space="preserve">ou may want to </w:t>
      </w:r>
      <w:r>
        <w:rPr>
          <w:i/>
          <w:sz w:val="22"/>
          <w:szCs w:val="22"/>
          <w:highlight w:val="cyan"/>
          <w:lang w:eastAsia="ja-JP"/>
        </w:rPr>
        <w:t>review these GASB pronouncements and the Implementation Guide for any potential impact to your financial statements.</w:t>
      </w:r>
      <w:r w:rsidR="003244EC">
        <w:rPr>
          <w:i/>
          <w:sz w:val="22"/>
          <w:szCs w:val="22"/>
          <w:highlight w:val="cyan"/>
          <w:lang w:eastAsia="ja-JP"/>
        </w:rPr>
        <w:t xml:space="preserve">  </w:t>
      </w:r>
    </w:p>
    <w:p w14:paraId="1D9A81CB" w14:textId="77777777" w:rsidR="003244EC" w:rsidRDefault="003244EC" w:rsidP="003244EC">
      <w:pPr>
        <w:jc w:val="both"/>
        <w:rPr>
          <w:i/>
          <w:sz w:val="22"/>
          <w:szCs w:val="22"/>
          <w:lang w:eastAsia="ja-JP"/>
        </w:rPr>
      </w:pPr>
    </w:p>
    <w:p w14:paraId="048D4DEF" w14:textId="77777777" w:rsidR="00073D74" w:rsidRPr="00655F86" w:rsidRDefault="00157787" w:rsidP="00655F86">
      <w:pPr>
        <w:rPr>
          <w:b/>
          <w:sz w:val="22"/>
          <w:szCs w:val="22"/>
        </w:rPr>
      </w:pPr>
      <w:r>
        <w:rPr>
          <w:i/>
          <w:sz w:val="22"/>
          <w:szCs w:val="22"/>
          <w:highlight w:val="yellow"/>
        </w:rPr>
        <w:br w:type="page"/>
      </w:r>
      <w:r w:rsidR="00073D74" w:rsidRPr="005374C3">
        <w:rPr>
          <w:b/>
          <w:bCs/>
          <w:sz w:val="24"/>
          <w:szCs w:val="24"/>
        </w:rPr>
        <w:lastRenderedPageBreak/>
        <w:t xml:space="preserve">Note 1 </w:t>
      </w:r>
      <w:r w:rsidR="00462CAA" w:rsidRPr="005374C3">
        <w:rPr>
          <w:b/>
          <w:bCs/>
          <w:sz w:val="24"/>
          <w:szCs w:val="24"/>
        </w:rPr>
        <w:t>–</w:t>
      </w:r>
      <w:r w:rsidR="00073D74" w:rsidRPr="005374C3">
        <w:rPr>
          <w:b/>
          <w:bCs/>
          <w:sz w:val="24"/>
          <w:szCs w:val="24"/>
        </w:rPr>
        <w:t xml:space="preserve"> </w:t>
      </w:r>
      <w:r w:rsidR="00462CAA" w:rsidRPr="005374C3">
        <w:rPr>
          <w:b/>
          <w:bCs/>
          <w:sz w:val="24"/>
          <w:szCs w:val="24"/>
        </w:rPr>
        <w:t xml:space="preserve">Description of the Library and </w:t>
      </w:r>
      <w:r w:rsidR="00073D74" w:rsidRPr="005374C3">
        <w:rPr>
          <w:b/>
          <w:bCs/>
          <w:sz w:val="24"/>
          <w:szCs w:val="24"/>
        </w:rPr>
        <w:t>Reporting Entity</w:t>
      </w:r>
      <w:r w:rsidR="001D6022" w:rsidRPr="005374C3">
        <w:rPr>
          <w:b/>
          <w:bCs/>
          <w:sz w:val="24"/>
          <w:szCs w:val="24"/>
        </w:rPr>
        <w:t xml:space="preserve"> </w:t>
      </w:r>
    </w:p>
    <w:p w14:paraId="3BF385FE" w14:textId="77777777" w:rsidR="00DC7139" w:rsidRPr="005374C3" w:rsidRDefault="00DC7139" w:rsidP="005374C3">
      <w:pPr>
        <w:rPr>
          <w:sz w:val="22"/>
          <w:szCs w:val="22"/>
        </w:rPr>
      </w:pPr>
    </w:p>
    <w:p w14:paraId="086835A5" w14:textId="77777777" w:rsidR="002B0FF6" w:rsidRDefault="002B0FF6" w:rsidP="005374C3">
      <w:pPr>
        <w:jc w:val="both"/>
        <w:rPr>
          <w:i/>
          <w:sz w:val="22"/>
          <w:szCs w:val="22"/>
        </w:rPr>
      </w:pPr>
      <w:r w:rsidRPr="00157787">
        <w:rPr>
          <w:i/>
          <w:sz w:val="22"/>
          <w:szCs w:val="22"/>
          <w:highlight w:val="yellow"/>
        </w:rPr>
        <w:t>(</w:t>
      </w:r>
      <w:r w:rsidR="00EA78AC">
        <w:rPr>
          <w:i/>
          <w:sz w:val="22"/>
          <w:szCs w:val="22"/>
          <w:highlight w:val="yellow"/>
        </w:rPr>
        <w:t xml:space="preserve">There are various ways libraries can be formed.  Below are two sample notes related to library board </w:t>
      </w:r>
      <w:r w:rsidR="00D02870">
        <w:rPr>
          <w:i/>
          <w:sz w:val="22"/>
          <w:szCs w:val="22"/>
          <w:highlight w:val="yellow"/>
        </w:rPr>
        <w:t>appointments.</w:t>
      </w:r>
      <w:r w:rsidR="00EA78AC">
        <w:rPr>
          <w:i/>
          <w:sz w:val="22"/>
          <w:szCs w:val="22"/>
          <w:highlight w:val="yellow"/>
        </w:rPr>
        <w:t xml:space="preserve"> The first sample has </w:t>
      </w:r>
      <w:r w:rsidR="00D02870">
        <w:rPr>
          <w:i/>
          <w:sz w:val="22"/>
          <w:szCs w:val="22"/>
          <w:highlight w:val="yellow"/>
        </w:rPr>
        <w:t xml:space="preserve">appointments made by a </w:t>
      </w:r>
      <w:r w:rsidR="00EA78AC">
        <w:rPr>
          <w:i/>
          <w:sz w:val="22"/>
          <w:szCs w:val="22"/>
          <w:highlight w:val="yellow"/>
        </w:rPr>
        <w:t xml:space="preserve">school district board </w:t>
      </w:r>
      <w:r w:rsidR="00D02870">
        <w:rPr>
          <w:i/>
          <w:sz w:val="22"/>
          <w:szCs w:val="22"/>
          <w:highlight w:val="yellow"/>
        </w:rPr>
        <w:t>of education</w:t>
      </w:r>
      <w:r w:rsidR="00EA78AC">
        <w:rPr>
          <w:i/>
          <w:sz w:val="22"/>
          <w:szCs w:val="22"/>
          <w:highlight w:val="yellow"/>
        </w:rPr>
        <w:t xml:space="preserve"> and the second has </w:t>
      </w:r>
      <w:r w:rsidR="00D02870">
        <w:rPr>
          <w:i/>
          <w:sz w:val="22"/>
          <w:szCs w:val="22"/>
          <w:highlight w:val="yellow"/>
        </w:rPr>
        <w:t>appointments made by a c</w:t>
      </w:r>
      <w:r w:rsidR="00EA78AC">
        <w:rPr>
          <w:i/>
          <w:sz w:val="22"/>
          <w:szCs w:val="22"/>
          <w:highlight w:val="yellow"/>
        </w:rPr>
        <w:t xml:space="preserve">ounty.  You can </w:t>
      </w:r>
      <w:r w:rsidRPr="00157787">
        <w:rPr>
          <w:i/>
          <w:sz w:val="22"/>
          <w:szCs w:val="22"/>
          <w:highlight w:val="yellow"/>
        </w:rPr>
        <w:t>modify as needed</w:t>
      </w:r>
      <w:r w:rsidR="0050650A">
        <w:rPr>
          <w:i/>
          <w:sz w:val="22"/>
          <w:szCs w:val="22"/>
          <w:highlight w:val="yellow"/>
        </w:rPr>
        <w:t>.</w:t>
      </w:r>
      <w:r w:rsidRPr="00157787">
        <w:rPr>
          <w:i/>
          <w:sz w:val="22"/>
          <w:szCs w:val="22"/>
          <w:highlight w:val="yellow"/>
        </w:rPr>
        <w:t>)</w:t>
      </w:r>
    </w:p>
    <w:p w14:paraId="20DEC2A6" w14:textId="77777777" w:rsidR="00B60E02" w:rsidRDefault="00B60E02" w:rsidP="005374C3">
      <w:pPr>
        <w:jc w:val="both"/>
        <w:rPr>
          <w:i/>
          <w:sz w:val="22"/>
          <w:szCs w:val="22"/>
        </w:rPr>
      </w:pPr>
    </w:p>
    <w:p w14:paraId="1CDE2DA1" w14:textId="77777777" w:rsidR="00B60E02" w:rsidRPr="002B0FF6" w:rsidRDefault="00EA78AC" w:rsidP="005374C3">
      <w:pPr>
        <w:jc w:val="both"/>
        <w:rPr>
          <w:i/>
          <w:sz w:val="22"/>
          <w:szCs w:val="22"/>
        </w:rPr>
      </w:pPr>
      <w:r w:rsidRPr="00EA78AC">
        <w:rPr>
          <w:i/>
          <w:sz w:val="22"/>
          <w:szCs w:val="22"/>
          <w:highlight w:val="yellow"/>
        </w:rPr>
        <w:t>Sample 1 – School District Board Appointments</w:t>
      </w:r>
    </w:p>
    <w:p w14:paraId="12892C5E" w14:textId="77777777" w:rsidR="002B0FF6" w:rsidRDefault="002B0FF6" w:rsidP="005374C3">
      <w:pPr>
        <w:jc w:val="both"/>
        <w:rPr>
          <w:sz w:val="22"/>
          <w:szCs w:val="22"/>
        </w:rPr>
      </w:pPr>
    </w:p>
    <w:p w14:paraId="3377D270" w14:textId="77777777" w:rsidR="00073D74" w:rsidRPr="00EA78AC" w:rsidRDefault="00AE69DC" w:rsidP="00533678">
      <w:pPr>
        <w:widowControl/>
        <w:jc w:val="both"/>
        <w:rPr>
          <w:sz w:val="22"/>
          <w:szCs w:val="22"/>
          <w:highlight w:val="green"/>
        </w:rPr>
      </w:pPr>
      <w:r w:rsidRPr="00EA78AC">
        <w:rPr>
          <w:sz w:val="22"/>
          <w:szCs w:val="22"/>
          <w:highlight w:val="green"/>
        </w:rPr>
        <w:t xml:space="preserve">The </w:t>
      </w:r>
      <w:r w:rsidR="00AA71C5" w:rsidRPr="00EA78AC">
        <w:rPr>
          <w:sz w:val="22"/>
          <w:szCs w:val="22"/>
          <w:highlight w:val="green"/>
        </w:rPr>
        <w:t>XYZ Public Library</w:t>
      </w:r>
      <w:r w:rsidRPr="00EA78AC">
        <w:rPr>
          <w:sz w:val="22"/>
          <w:szCs w:val="22"/>
          <w:highlight w:val="green"/>
        </w:rPr>
        <w:t xml:space="preserve"> </w:t>
      </w:r>
      <w:r w:rsidR="007A39A2" w:rsidRPr="00EA78AC">
        <w:rPr>
          <w:sz w:val="22"/>
          <w:szCs w:val="22"/>
          <w:highlight w:val="green"/>
        </w:rPr>
        <w:t xml:space="preserve">(the Library) </w:t>
      </w:r>
      <w:r w:rsidRPr="00EA78AC">
        <w:rPr>
          <w:sz w:val="22"/>
          <w:szCs w:val="22"/>
          <w:highlight w:val="green"/>
        </w:rPr>
        <w:t xml:space="preserve">was organized as a school district public library in </w:t>
      </w:r>
      <w:r w:rsidR="00157787" w:rsidRPr="00EA78AC">
        <w:rPr>
          <w:sz w:val="22"/>
          <w:szCs w:val="22"/>
          <w:highlight w:val="green"/>
        </w:rPr>
        <w:t>XXXX</w:t>
      </w:r>
      <w:r w:rsidRPr="00EA78AC">
        <w:rPr>
          <w:sz w:val="22"/>
          <w:szCs w:val="22"/>
          <w:highlight w:val="green"/>
        </w:rPr>
        <w:t xml:space="preserve"> under the laws of the State of Ohio.  The Library has its own </w:t>
      </w:r>
      <w:r w:rsidR="00AA71C5" w:rsidRPr="00EA78AC">
        <w:rPr>
          <w:sz w:val="22"/>
          <w:szCs w:val="22"/>
          <w:highlight w:val="green"/>
        </w:rPr>
        <w:t>seven</w:t>
      </w:r>
      <w:r w:rsidR="002A5B3A" w:rsidRPr="00EA78AC">
        <w:rPr>
          <w:sz w:val="22"/>
          <w:szCs w:val="22"/>
          <w:highlight w:val="green"/>
        </w:rPr>
        <w:t>-</w:t>
      </w:r>
      <w:r w:rsidR="00AA71C5" w:rsidRPr="00EA78AC">
        <w:rPr>
          <w:sz w:val="22"/>
          <w:szCs w:val="22"/>
          <w:highlight w:val="green"/>
        </w:rPr>
        <w:t xml:space="preserve">member </w:t>
      </w:r>
      <w:r w:rsidRPr="00EA78AC">
        <w:rPr>
          <w:sz w:val="22"/>
          <w:szCs w:val="22"/>
          <w:highlight w:val="green"/>
        </w:rPr>
        <w:t>Board of Trustees appointed by the</w:t>
      </w:r>
      <w:r w:rsidR="00AA71C5" w:rsidRPr="00EA78AC">
        <w:rPr>
          <w:sz w:val="22"/>
          <w:szCs w:val="22"/>
          <w:highlight w:val="green"/>
        </w:rPr>
        <w:t xml:space="preserve"> XYZ School</w:t>
      </w:r>
      <w:r w:rsidR="002B0FF6" w:rsidRPr="00EA78AC">
        <w:rPr>
          <w:sz w:val="22"/>
          <w:szCs w:val="22"/>
          <w:highlight w:val="green"/>
        </w:rPr>
        <w:t xml:space="preserve"> District </w:t>
      </w:r>
      <w:r w:rsidR="00784E60" w:rsidRPr="00EA78AC">
        <w:rPr>
          <w:sz w:val="22"/>
          <w:szCs w:val="22"/>
          <w:highlight w:val="green"/>
        </w:rPr>
        <w:t>Board of Education</w:t>
      </w:r>
      <w:r w:rsidR="004A1E9C">
        <w:rPr>
          <w:sz w:val="22"/>
          <w:szCs w:val="22"/>
          <w:highlight w:val="green"/>
        </w:rPr>
        <w:t>,</w:t>
      </w:r>
      <w:r w:rsidR="004A1E9C" w:rsidRPr="00E359BC">
        <w:rPr>
          <w:sz w:val="22"/>
          <w:szCs w:val="22"/>
          <w:highlight w:val="green"/>
        </w:rPr>
        <w:t xml:space="preserve"> as established by section 3375.15 of the Ohio Revised Code</w:t>
      </w:r>
      <w:r w:rsidR="00784E60" w:rsidRPr="00E359BC">
        <w:rPr>
          <w:sz w:val="22"/>
          <w:szCs w:val="22"/>
          <w:highlight w:val="green"/>
        </w:rPr>
        <w:t>.  Appointments are for seven-year terms and members serve without compensation.  Under Ohio statutes, the Library is a body politic and corporate capable of suing and being sued, contracting, acquiring, holding, possessing, and disposing of real property, and of exercising such other powers and privileges conferred upon it by law.  The Library also determines and operates under its own budget.  Control and management of the Library is governe</w:t>
      </w:r>
      <w:r w:rsidR="00874BAF" w:rsidRPr="00E359BC">
        <w:rPr>
          <w:sz w:val="22"/>
          <w:szCs w:val="22"/>
          <w:highlight w:val="green"/>
        </w:rPr>
        <w:t>d by sections 3375.33 to 3375.41</w:t>
      </w:r>
      <w:r w:rsidR="00784E60" w:rsidRPr="00E359BC">
        <w:rPr>
          <w:sz w:val="22"/>
          <w:szCs w:val="22"/>
          <w:highlight w:val="green"/>
        </w:rPr>
        <w:t xml:space="preserve"> of the Ohio Revised Code with the administration of the day-to-day operations of the Librar</w:t>
      </w:r>
      <w:r w:rsidR="00784E60" w:rsidRPr="00EA78AC">
        <w:rPr>
          <w:sz w:val="22"/>
          <w:szCs w:val="22"/>
          <w:highlight w:val="green"/>
        </w:rPr>
        <w:t>y being the responsibility of the Director and financial accountability</w:t>
      </w:r>
      <w:r w:rsidR="003407B0">
        <w:rPr>
          <w:sz w:val="22"/>
          <w:szCs w:val="22"/>
          <w:highlight w:val="green"/>
        </w:rPr>
        <w:t xml:space="preserve"> being solely that of the Clerk/</w:t>
      </w:r>
      <w:r w:rsidR="00784E60" w:rsidRPr="00EA78AC">
        <w:rPr>
          <w:sz w:val="22"/>
          <w:szCs w:val="22"/>
          <w:highlight w:val="green"/>
        </w:rPr>
        <w:t>Treasurer.</w:t>
      </w:r>
    </w:p>
    <w:p w14:paraId="16D0E6AF" w14:textId="77777777" w:rsidR="00784E60" w:rsidRPr="00EA78AC" w:rsidRDefault="00784E60" w:rsidP="00533678">
      <w:pPr>
        <w:widowControl/>
        <w:jc w:val="both"/>
        <w:rPr>
          <w:sz w:val="22"/>
          <w:szCs w:val="22"/>
          <w:highlight w:val="green"/>
        </w:rPr>
      </w:pPr>
    </w:p>
    <w:p w14:paraId="672E92CD" w14:textId="77777777" w:rsidR="00784E60" w:rsidRPr="00EA78AC" w:rsidRDefault="00784E60" w:rsidP="00533678">
      <w:pPr>
        <w:widowControl/>
        <w:jc w:val="both"/>
        <w:rPr>
          <w:sz w:val="22"/>
          <w:szCs w:val="22"/>
          <w:highlight w:val="green"/>
        </w:rPr>
      </w:pPr>
      <w:r w:rsidRPr="00EA78AC">
        <w:rPr>
          <w:sz w:val="22"/>
          <w:szCs w:val="22"/>
          <w:highlight w:val="green"/>
        </w:rPr>
        <w:t>The Library is fiscally independent of the Board of Education, although the Board of Education serves in a ministerial capacity as the taxing authority for the Library.  The determination to request approval of a tax levy, the role and purpose(s) of the levy, are discretionary decisions made solely by the Board of Library Trustees.  Once those decisions are made, the Board of Education must put the levy on the ballot.  There is no potential</w:t>
      </w:r>
      <w:r w:rsidR="00462CAA" w:rsidRPr="00EA78AC">
        <w:rPr>
          <w:sz w:val="22"/>
          <w:szCs w:val="22"/>
          <w:highlight w:val="green"/>
        </w:rPr>
        <w:t xml:space="preserve"> for the Library to provide a financial benefit to or impose a financial burden on the Board of Education.</w:t>
      </w:r>
    </w:p>
    <w:p w14:paraId="00C2AA67" w14:textId="77777777" w:rsidR="00073D74" w:rsidRPr="00EA78AC" w:rsidRDefault="00073D74" w:rsidP="00533678">
      <w:pPr>
        <w:widowControl/>
        <w:jc w:val="both"/>
        <w:rPr>
          <w:sz w:val="22"/>
          <w:szCs w:val="22"/>
          <w:highlight w:val="green"/>
        </w:rPr>
      </w:pPr>
    </w:p>
    <w:p w14:paraId="470FE26C" w14:textId="77777777" w:rsidR="00462CAA" w:rsidRPr="005374C3" w:rsidRDefault="00462CAA" w:rsidP="00533678">
      <w:pPr>
        <w:widowControl/>
        <w:jc w:val="both"/>
        <w:rPr>
          <w:sz w:val="22"/>
          <w:szCs w:val="22"/>
        </w:rPr>
      </w:pPr>
      <w:r w:rsidRPr="00EA78AC">
        <w:rPr>
          <w:sz w:val="22"/>
          <w:szCs w:val="22"/>
          <w:highlight w:val="green"/>
        </w:rPr>
        <w:t xml:space="preserve">Under the provisions of Statement No. 14 of the Governmental Accounting Standards Board, </w:t>
      </w:r>
      <w:r w:rsidR="0050650A" w:rsidRPr="0050650A">
        <w:rPr>
          <w:i/>
          <w:sz w:val="22"/>
          <w:szCs w:val="22"/>
          <w:highlight w:val="green"/>
        </w:rPr>
        <w:t>The Financial Reporting Entity</w:t>
      </w:r>
      <w:r w:rsidR="0050650A">
        <w:rPr>
          <w:sz w:val="22"/>
          <w:szCs w:val="22"/>
          <w:highlight w:val="green"/>
        </w:rPr>
        <w:t>,</w:t>
      </w:r>
      <w:r w:rsidRPr="00EA78AC">
        <w:rPr>
          <w:sz w:val="22"/>
          <w:szCs w:val="22"/>
          <w:highlight w:val="green"/>
        </w:rPr>
        <w:t xml:space="preserve"> the Library </w:t>
      </w:r>
      <w:proofErr w:type="gramStart"/>
      <w:r w:rsidRPr="00EA78AC">
        <w:rPr>
          <w:sz w:val="22"/>
          <w:szCs w:val="22"/>
          <w:highlight w:val="green"/>
        </w:rPr>
        <w:t>is considered to be</w:t>
      </w:r>
      <w:proofErr w:type="gramEnd"/>
      <w:r w:rsidRPr="00EA78AC">
        <w:rPr>
          <w:sz w:val="22"/>
          <w:szCs w:val="22"/>
          <w:highlight w:val="green"/>
        </w:rPr>
        <w:t xml:space="preserve"> a related organization of the </w:t>
      </w:r>
      <w:r w:rsidR="000D67A3" w:rsidRPr="00EA78AC">
        <w:rPr>
          <w:sz w:val="22"/>
          <w:szCs w:val="22"/>
          <w:highlight w:val="green"/>
        </w:rPr>
        <w:t>Ohio</w:t>
      </w:r>
      <w:r w:rsidRPr="00EA78AC">
        <w:rPr>
          <w:sz w:val="22"/>
          <w:szCs w:val="22"/>
          <w:highlight w:val="green"/>
        </w:rPr>
        <w:t xml:space="preserve"> School District.</w:t>
      </w:r>
    </w:p>
    <w:p w14:paraId="476E1B22" w14:textId="77777777" w:rsidR="00462CAA" w:rsidRDefault="00462CAA" w:rsidP="00533678">
      <w:pPr>
        <w:widowControl/>
        <w:jc w:val="both"/>
        <w:rPr>
          <w:sz w:val="22"/>
          <w:szCs w:val="22"/>
        </w:rPr>
      </w:pPr>
    </w:p>
    <w:p w14:paraId="6613BABF" w14:textId="77777777" w:rsidR="00EA78AC" w:rsidRPr="00EA78AC" w:rsidRDefault="00EA78AC" w:rsidP="00533678">
      <w:pPr>
        <w:widowControl/>
        <w:jc w:val="both"/>
        <w:rPr>
          <w:i/>
          <w:sz w:val="22"/>
          <w:szCs w:val="22"/>
        </w:rPr>
      </w:pPr>
      <w:r w:rsidRPr="00EA78AC">
        <w:rPr>
          <w:i/>
          <w:sz w:val="22"/>
          <w:szCs w:val="22"/>
          <w:highlight w:val="yellow"/>
        </w:rPr>
        <w:t>Sample 2 – County Board Appointments</w:t>
      </w:r>
    </w:p>
    <w:p w14:paraId="1DF01199" w14:textId="77777777" w:rsidR="00EA78AC" w:rsidRDefault="00EA78AC" w:rsidP="00533678">
      <w:pPr>
        <w:widowControl/>
        <w:jc w:val="both"/>
        <w:rPr>
          <w:sz w:val="22"/>
          <w:szCs w:val="22"/>
        </w:rPr>
      </w:pPr>
    </w:p>
    <w:p w14:paraId="1DDFD6C0" w14:textId="77777777" w:rsidR="00EA78AC" w:rsidRPr="00EA78AC" w:rsidRDefault="00EA78AC" w:rsidP="00533678">
      <w:pPr>
        <w:widowControl/>
        <w:jc w:val="both"/>
        <w:rPr>
          <w:sz w:val="22"/>
          <w:szCs w:val="22"/>
          <w:highlight w:val="green"/>
        </w:rPr>
      </w:pPr>
      <w:r w:rsidRPr="00EA78AC">
        <w:rPr>
          <w:sz w:val="22"/>
          <w:szCs w:val="22"/>
          <w:highlight w:val="green"/>
        </w:rPr>
        <w:t xml:space="preserve">The Board of Library Trustees </w:t>
      </w:r>
      <w:r>
        <w:rPr>
          <w:sz w:val="22"/>
          <w:szCs w:val="22"/>
          <w:highlight w:val="green"/>
        </w:rPr>
        <w:t xml:space="preserve">of XYZ Public Library (the Library) </w:t>
      </w:r>
      <w:r w:rsidRPr="00EA78AC">
        <w:rPr>
          <w:sz w:val="22"/>
          <w:szCs w:val="22"/>
          <w:highlight w:val="green"/>
        </w:rPr>
        <w:t>has seven members:  three appointed by the Commo</w:t>
      </w:r>
      <w:r w:rsidRPr="00E359BC">
        <w:rPr>
          <w:sz w:val="22"/>
          <w:szCs w:val="22"/>
          <w:highlight w:val="green"/>
        </w:rPr>
        <w:t>n Pleas Court Judges and four appointed by the Sample County Commissioners</w:t>
      </w:r>
      <w:r w:rsidR="00E651A9" w:rsidRPr="00E359BC">
        <w:rPr>
          <w:sz w:val="22"/>
          <w:szCs w:val="22"/>
          <w:highlight w:val="green"/>
        </w:rPr>
        <w:t>, as established by section 3375.22 of the Ohio Revised Code</w:t>
      </w:r>
      <w:r w:rsidRPr="00E359BC">
        <w:rPr>
          <w:sz w:val="22"/>
          <w:szCs w:val="22"/>
          <w:highlight w:val="green"/>
        </w:rPr>
        <w:t>.  Appointments are for seven-year terms and members serve without compensation.  Under Ohio statutes, the Library is a body politic and corporate capable of suing and being sued; contracting; acquiring, holding, processing, and disposing of real and personal property; and exercising such powers and privileges as are conferred upon it by law.  The Library also determines and operates under its own budget.  The control and management of the Library is governed by Sections 3375.</w:t>
      </w:r>
      <w:r w:rsidR="00E651A9" w:rsidRPr="00E359BC">
        <w:rPr>
          <w:sz w:val="22"/>
          <w:szCs w:val="22"/>
          <w:highlight w:val="green"/>
        </w:rPr>
        <w:t>33</w:t>
      </w:r>
      <w:r w:rsidRPr="00E359BC">
        <w:rPr>
          <w:sz w:val="22"/>
          <w:szCs w:val="22"/>
          <w:highlight w:val="green"/>
        </w:rPr>
        <w:t xml:space="preserve"> to 3375.</w:t>
      </w:r>
      <w:r w:rsidR="00E651A9" w:rsidRPr="00E359BC">
        <w:rPr>
          <w:sz w:val="22"/>
          <w:szCs w:val="22"/>
          <w:highlight w:val="green"/>
        </w:rPr>
        <w:t>41</w:t>
      </w:r>
      <w:r w:rsidRPr="00E359BC">
        <w:rPr>
          <w:sz w:val="22"/>
          <w:szCs w:val="22"/>
          <w:highlight w:val="green"/>
        </w:rPr>
        <w:t xml:space="preserve"> </w:t>
      </w:r>
      <w:r w:rsidRPr="00EA78AC">
        <w:rPr>
          <w:sz w:val="22"/>
          <w:szCs w:val="22"/>
          <w:highlight w:val="green"/>
        </w:rPr>
        <w:t>of the Ohio Revised Code.  The Board of Library Trustees appoints a Director/Fiscal Officer, Business Manager/Deputy Fiscal Officer, and two Assistant Deputy Fiscal Officers.</w:t>
      </w:r>
    </w:p>
    <w:p w14:paraId="2F3E581F" w14:textId="77777777" w:rsidR="00EA78AC" w:rsidRPr="00EA78AC" w:rsidRDefault="00EA78AC" w:rsidP="00533678">
      <w:pPr>
        <w:widowControl/>
        <w:jc w:val="both"/>
        <w:rPr>
          <w:sz w:val="22"/>
          <w:szCs w:val="22"/>
          <w:highlight w:val="green"/>
        </w:rPr>
      </w:pPr>
    </w:p>
    <w:p w14:paraId="05C764F9" w14:textId="77777777" w:rsidR="00EA78AC" w:rsidRPr="00EA78AC" w:rsidRDefault="00EA78AC" w:rsidP="00533678">
      <w:pPr>
        <w:widowControl/>
        <w:jc w:val="both"/>
        <w:rPr>
          <w:sz w:val="22"/>
          <w:szCs w:val="22"/>
          <w:highlight w:val="green"/>
        </w:rPr>
      </w:pPr>
      <w:r w:rsidRPr="00EA78AC">
        <w:rPr>
          <w:sz w:val="22"/>
          <w:szCs w:val="22"/>
          <w:highlight w:val="green"/>
        </w:rPr>
        <w:t>There is no potential for the Library to provide a financial benefit to or to impose a financial burden on the County Commissioners, nor can the County Commissioners significantly influence the programs, activities, or level of service performed or provided by the Library.  The Library is fiscally independent of the County, although the County Commissioners serve in a ministerial capacity as the taxing authority.  The determination to request approval of a tax, the rate, and the purpose(s) of the levy are discretionary decisions made solely by the Board of Library Trustees.  Once these decisions are made, the County Commissioners must place the levy on the ballot.</w:t>
      </w:r>
    </w:p>
    <w:p w14:paraId="4D79516A" w14:textId="77777777" w:rsidR="00EA78AC" w:rsidRDefault="00EA78AC" w:rsidP="00533678">
      <w:pPr>
        <w:widowControl/>
        <w:jc w:val="both"/>
        <w:rPr>
          <w:sz w:val="22"/>
          <w:szCs w:val="22"/>
          <w:highlight w:val="green"/>
        </w:rPr>
      </w:pPr>
    </w:p>
    <w:p w14:paraId="423528BF" w14:textId="77777777" w:rsidR="00EA78AC" w:rsidRDefault="00EA78AC" w:rsidP="00533678">
      <w:pPr>
        <w:widowControl/>
        <w:jc w:val="both"/>
        <w:rPr>
          <w:sz w:val="22"/>
          <w:szCs w:val="22"/>
        </w:rPr>
      </w:pPr>
      <w:r w:rsidRPr="00EA78AC">
        <w:rPr>
          <w:sz w:val="22"/>
          <w:szCs w:val="22"/>
          <w:highlight w:val="green"/>
        </w:rPr>
        <w:lastRenderedPageBreak/>
        <w:t>Under the provisions of Governmental Accounting Sta</w:t>
      </w:r>
      <w:r w:rsidR="0050650A">
        <w:rPr>
          <w:sz w:val="22"/>
          <w:szCs w:val="22"/>
          <w:highlight w:val="green"/>
        </w:rPr>
        <w:t xml:space="preserve">ndards Board Statement No. 61, </w:t>
      </w:r>
      <w:r w:rsidRPr="0050650A">
        <w:rPr>
          <w:i/>
          <w:sz w:val="22"/>
          <w:szCs w:val="22"/>
          <w:highlight w:val="green"/>
        </w:rPr>
        <w:t>The Financial Reporting Entity: Omnibus</w:t>
      </w:r>
      <w:r w:rsidRPr="00EA78AC">
        <w:rPr>
          <w:sz w:val="22"/>
          <w:szCs w:val="22"/>
          <w:highlight w:val="green"/>
        </w:rPr>
        <w:t>, the Library is considered a related organization to Sample County.</w:t>
      </w:r>
      <w:r w:rsidRPr="00EA78AC">
        <w:rPr>
          <w:sz w:val="22"/>
          <w:szCs w:val="22"/>
        </w:rPr>
        <w:t xml:space="preserve">  </w:t>
      </w:r>
    </w:p>
    <w:p w14:paraId="0C690E0B" w14:textId="77777777" w:rsidR="00EA78AC" w:rsidRDefault="00EA78AC" w:rsidP="00533678">
      <w:pPr>
        <w:widowControl/>
        <w:jc w:val="both"/>
        <w:rPr>
          <w:sz w:val="22"/>
          <w:szCs w:val="22"/>
        </w:rPr>
      </w:pPr>
    </w:p>
    <w:p w14:paraId="354C69A1" w14:textId="77777777" w:rsidR="00157787" w:rsidRPr="00157787" w:rsidRDefault="00157787" w:rsidP="00533678">
      <w:pPr>
        <w:widowControl/>
        <w:autoSpaceDE/>
        <w:autoSpaceDN/>
        <w:adjustRightInd/>
        <w:jc w:val="both"/>
        <w:rPr>
          <w:b/>
          <w:i/>
          <w:sz w:val="22"/>
          <w:szCs w:val="22"/>
        </w:rPr>
      </w:pPr>
      <w:r w:rsidRPr="00157787">
        <w:rPr>
          <w:b/>
          <w:i/>
          <w:sz w:val="22"/>
          <w:szCs w:val="22"/>
        </w:rPr>
        <w:t>Component Units</w:t>
      </w:r>
    </w:p>
    <w:p w14:paraId="4F7D10B7" w14:textId="77777777" w:rsidR="00157787" w:rsidRPr="00157787" w:rsidRDefault="00157787" w:rsidP="00533678">
      <w:pPr>
        <w:widowControl/>
        <w:autoSpaceDE/>
        <w:autoSpaceDN/>
        <w:adjustRightInd/>
        <w:jc w:val="both"/>
        <w:rPr>
          <w:sz w:val="22"/>
          <w:szCs w:val="22"/>
        </w:rPr>
      </w:pPr>
    </w:p>
    <w:p w14:paraId="633360B3" w14:textId="0C4B66D8" w:rsidR="00073D74" w:rsidRPr="00144090" w:rsidRDefault="00157787" w:rsidP="00533678">
      <w:pPr>
        <w:widowControl/>
        <w:jc w:val="both"/>
        <w:rPr>
          <w:sz w:val="22"/>
          <w:szCs w:val="22"/>
        </w:rPr>
      </w:pPr>
      <w:r w:rsidRPr="0050650A">
        <w:rPr>
          <w:sz w:val="22"/>
          <w:szCs w:val="22"/>
          <w:highlight w:val="yellow"/>
        </w:rPr>
        <w:t>(Delete if there are no component units.)</w:t>
      </w:r>
      <w:r w:rsidRPr="00157787">
        <w:rPr>
          <w:i/>
          <w:sz w:val="22"/>
          <w:szCs w:val="22"/>
        </w:rPr>
        <w:t xml:space="preserve">  </w:t>
      </w:r>
      <w:r w:rsidR="00073D74" w:rsidRPr="005374C3">
        <w:rPr>
          <w:sz w:val="22"/>
          <w:szCs w:val="22"/>
        </w:rPr>
        <w:t xml:space="preserve">Component units are legally separate organizations for which the </w:t>
      </w:r>
      <w:r w:rsidR="00462CAA" w:rsidRPr="005374C3">
        <w:rPr>
          <w:sz w:val="22"/>
          <w:szCs w:val="22"/>
        </w:rPr>
        <w:t>Librar</w:t>
      </w:r>
      <w:r w:rsidR="00073D74" w:rsidRPr="005374C3">
        <w:rPr>
          <w:sz w:val="22"/>
          <w:szCs w:val="22"/>
        </w:rPr>
        <w:t xml:space="preserve">y is financially accountable.  The </w:t>
      </w:r>
      <w:r w:rsidR="00462CAA" w:rsidRPr="005374C3">
        <w:rPr>
          <w:sz w:val="22"/>
          <w:szCs w:val="22"/>
        </w:rPr>
        <w:t>Librar</w:t>
      </w:r>
      <w:r w:rsidR="00073D74" w:rsidRPr="005374C3">
        <w:rPr>
          <w:sz w:val="22"/>
          <w:szCs w:val="22"/>
        </w:rPr>
        <w:t xml:space="preserve">y is financially accountable for an organization if the </w:t>
      </w:r>
      <w:r w:rsidR="00462CAA" w:rsidRPr="005374C3">
        <w:rPr>
          <w:sz w:val="22"/>
          <w:szCs w:val="22"/>
        </w:rPr>
        <w:t>Librar</w:t>
      </w:r>
      <w:r w:rsidR="00073D74" w:rsidRPr="005374C3">
        <w:rPr>
          <w:sz w:val="22"/>
          <w:szCs w:val="22"/>
        </w:rPr>
        <w:t>y appoints a voting majority of the organization's governing board</w:t>
      </w:r>
      <w:r w:rsidR="002B0FF6">
        <w:rPr>
          <w:sz w:val="22"/>
          <w:szCs w:val="22"/>
        </w:rPr>
        <w:t>;</w:t>
      </w:r>
      <w:r w:rsidR="00073D74" w:rsidRPr="005374C3">
        <w:rPr>
          <w:sz w:val="22"/>
          <w:szCs w:val="22"/>
        </w:rPr>
        <w:t xml:space="preserve"> and (1) the </w:t>
      </w:r>
      <w:r w:rsidR="00462CAA" w:rsidRPr="005374C3">
        <w:rPr>
          <w:sz w:val="22"/>
          <w:szCs w:val="22"/>
        </w:rPr>
        <w:t>Librar</w:t>
      </w:r>
      <w:r w:rsidR="00073D74" w:rsidRPr="005374C3">
        <w:rPr>
          <w:sz w:val="22"/>
          <w:szCs w:val="22"/>
        </w:rPr>
        <w:t xml:space="preserve">y is able to significantly influence the programs or services performed or provided by the organization; or (2) the </w:t>
      </w:r>
      <w:r w:rsidR="00462CAA" w:rsidRPr="005374C3">
        <w:rPr>
          <w:sz w:val="22"/>
          <w:szCs w:val="22"/>
        </w:rPr>
        <w:t>Librar</w:t>
      </w:r>
      <w:r w:rsidR="00073D74" w:rsidRPr="005374C3">
        <w:rPr>
          <w:sz w:val="22"/>
          <w:szCs w:val="22"/>
        </w:rPr>
        <w:t xml:space="preserve">y is legally entitled to or can otherwise access the organization's resources; the </w:t>
      </w:r>
      <w:r w:rsidR="00462CAA" w:rsidRPr="005374C3">
        <w:rPr>
          <w:sz w:val="22"/>
          <w:szCs w:val="22"/>
        </w:rPr>
        <w:t>Librar</w:t>
      </w:r>
      <w:r w:rsidR="00073D74" w:rsidRPr="005374C3">
        <w:rPr>
          <w:sz w:val="22"/>
          <w:szCs w:val="22"/>
        </w:rPr>
        <w:t xml:space="preserve">y is legally obligated or has otherwise assumed the responsibility to finance the deficits of, or provide financial support to, the organization; or the </w:t>
      </w:r>
      <w:r w:rsidR="00462CAA" w:rsidRPr="005374C3">
        <w:rPr>
          <w:sz w:val="22"/>
          <w:szCs w:val="22"/>
        </w:rPr>
        <w:t>Librar</w:t>
      </w:r>
      <w:r w:rsidR="00073D74" w:rsidRPr="005374C3">
        <w:rPr>
          <w:sz w:val="22"/>
          <w:szCs w:val="22"/>
        </w:rPr>
        <w:t xml:space="preserve">y is obligated for the debt of the organization.  </w:t>
      </w:r>
      <w:r w:rsidR="002B0FF6" w:rsidRPr="00B60E02">
        <w:rPr>
          <w:sz w:val="22"/>
          <w:szCs w:val="22"/>
          <w:highlight w:val="green"/>
        </w:rPr>
        <w:t>Component units may also include organizations for which the Library authorizes the issuance of debt or the levying of taxes or determin</w:t>
      </w:r>
      <w:r w:rsidR="00AA71C5" w:rsidRPr="00B60E02">
        <w:rPr>
          <w:sz w:val="22"/>
          <w:szCs w:val="22"/>
          <w:highlight w:val="green"/>
        </w:rPr>
        <w:t>es</w:t>
      </w:r>
      <w:r w:rsidR="002B0FF6" w:rsidRPr="00B60E02">
        <w:rPr>
          <w:sz w:val="22"/>
          <w:szCs w:val="22"/>
          <w:highlight w:val="green"/>
        </w:rPr>
        <w:t xml:space="preserve"> the budget</w:t>
      </w:r>
      <w:r w:rsidR="00963367" w:rsidRPr="00B60E02">
        <w:rPr>
          <w:sz w:val="22"/>
          <w:szCs w:val="22"/>
          <w:highlight w:val="green"/>
        </w:rPr>
        <w:t xml:space="preserve"> if there is also the potential for the organization to provide specific financial benefits to, or impose specific financial burdens on the </w:t>
      </w:r>
      <w:r w:rsidR="0075309E" w:rsidRPr="00B60E02">
        <w:rPr>
          <w:sz w:val="22"/>
          <w:szCs w:val="22"/>
          <w:highlight w:val="green"/>
        </w:rPr>
        <w:t>Library</w:t>
      </w:r>
      <w:r w:rsidR="00963367" w:rsidRPr="00B60E02">
        <w:rPr>
          <w:sz w:val="22"/>
          <w:szCs w:val="22"/>
          <w:highlight w:val="green"/>
        </w:rPr>
        <w:t xml:space="preserve">.  </w:t>
      </w:r>
      <w:r w:rsidR="002B0FF6" w:rsidRPr="00B60E02">
        <w:rPr>
          <w:sz w:val="22"/>
          <w:szCs w:val="22"/>
          <w:highlight w:val="green"/>
        </w:rPr>
        <w:t xml:space="preserve">  </w:t>
      </w:r>
      <w:r w:rsidR="00521355" w:rsidRPr="00144090">
        <w:rPr>
          <w:iCs/>
          <w:sz w:val="22"/>
          <w:szCs w:val="22"/>
          <w:highlight w:val="green"/>
        </w:rPr>
        <w:t xml:space="preserve">Component </w:t>
      </w:r>
      <w:r w:rsidR="00F71EA2" w:rsidRPr="00144090">
        <w:rPr>
          <w:iCs/>
          <w:sz w:val="22"/>
          <w:szCs w:val="22"/>
          <w:highlight w:val="green"/>
        </w:rPr>
        <w:t>u</w:t>
      </w:r>
      <w:r w:rsidR="00521355" w:rsidRPr="00144090">
        <w:rPr>
          <w:iCs/>
          <w:sz w:val="22"/>
          <w:szCs w:val="22"/>
          <w:highlight w:val="green"/>
        </w:rPr>
        <w:t xml:space="preserve">nits also include legally separate, tax-exempt entities whose resources are for the direct benefit of the Library, are accessible to the Library and are significant in amount to the Library.  </w:t>
      </w:r>
      <w:r w:rsidR="00254D27" w:rsidRPr="00144090">
        <w:rPr>
          <w:iCs/>
          <w:sz w:val="22"/>
          <w:szCs w:val="22"/>
          <w:highlight w:val="yellow"/>
        </w:rPr>
        <w:t>(</w:t>
      </w:r>
      <w:r w:rsidR="002B0FF6" w:rsidRPr="00144090">
        <w:rPr>
          <w:iCs/>
          <w:sz w:val="22"/>
          <w:szCs w:val="22"/>
          <w:highlight w:val="yellow"/>
        </w:rPr>
        <w:t>Delete if no tax-exempt entities are included per GASB 39.</w:t>
      </w:r>
      <w:r w:rsidR="002B0FF6" w:rsidRPr="00144090">
        <w:rPr>
          <w:iCs/>
          <w:sz w:val="22"/>
          <w:szCs w:val="22"/>
        </w:rPr>
        <w:t xml:space="preserve">  </w:t>
      </w:r>
      <w:r w:rsidR="002B0FF6" w:rsidRPr="00144090">
        <w:rPr>
          <w:iCs/>
          <w:sz w:val="22"/>
          <w:szCs w:val="22"/>
          <w:highlight w:val="yellow"/>
        </w:rPr>
        <w:t xml:space="preserve">Also, </w:t>
      </w:r>
      <w:r w:rsidR="00254D27" w:rsidRPr="00144090">
        <w:rPr>
          <w:iCs/>
          <w:sz w:val="22"/>
          <w:szCs w:val="22"/>
          <w:highlight w:val="yellow"/>
        </w:rPr>
        <w:t>Auditor of State Bulletin 2004-001 provides guidance on determining significance.)</w:t>
      </w:r>
      <w:r w:rsidR="00254D27" w:rsidRPr="005374C3">
        <w:rPr>
          <w:i/>
          <w:sz w:val="22"/>
          <w:szCs w:val="22"/>
        </w:rPr>
        <w:t xml:space="preserve">  </w:t>
      </w:r>
    </w:p>
    <w:p w14:paraId="4511A152" w14:textId="77777777" w:rsidR="00B60E02" w:rsidRPr="005374C3" w:rsidRDefault="00B60E02" w:rsidP="00533678">
      <w:pPr>
        <w:widowControl/>
        <w:jc w:val="both"/>
        <w:rPr>
          <w:sz w:val="22"/>
          <w:szCs w:val="22"/>
        </w:rPr>
      </w:pPr>
    </w:p>
    <w:p w14:paraId="5066AF03" w14:textId="77777777" w:rsidR="00521355" w:rsidRPr="00144090" w:rsidRDefault="00521355" w:rsidP="00533678">
      <w:pPr>
        <w:widowControl/>
        <w:jc w:val="both"/>
        <w:rPr>
          <w:iCs/>
          <w:sz w:val="22"/>
          <w:szCs w:val="22"/>
        </w:rPr>
      </w:pPr>
      <w:r w:rsidRPr="00144090">
        <w:rPr>
          <w:iCs/>
          <w:sz w:val="22"/>
          <w:szCs w:val="22"/>
          <w:highlight w:val="green"/>
        </w:rPr>
        <w:t>Describe any included component units and the GASB Statement 14/39</w:t>
      </w:r>
      <w:r w:rsidR="0050650A" w:rsidRPr="00144090">
        <w:rPr>
          <w:iCs/>
          <w:sz w:val="22"/>
          <w:szCs w:val="22"/>
          <w:highlight w:val="green"/>
        </w:rPr>
        <w:t>/61</w:t>
      </w:r>
      <w:r w:rsidRPr="00144090">
        <w:rPr>
          <w:iCs/>
          <w:sz w:val="22"/>
          <w:szCs w:val="22"/>
          <w:highlight w:val="green"/>
        </w:rPr>
        <w:t xml:space="preserve"> criteria mandating their inclusion (e.g., appointment of </w:t>
      </w:r>
      <w:proofErr w:type="gramStart"/>
      <w:r w:rsidRPr="00144090">
        <w:rPr>
          <w:iCs/>
          <w:sz w:val="22"/>
          <w:szCs w:val="22"/>
          <w:highlight w:val="green"/>
        </w:rPr>
        <w:t>a majority of</w:t>
      </w:r>
      <w:proofErr w:type="gramEnd"/>
      <w:r w:rsidRPr="00144090">
        <w:rPr>
          <w:iCs/>
          <w:sz w:val="22"/>
          <w:szCs w:val="22"/>
          <w:highlight w:val="green"/>
        </w:rPr>
        <w:t xml:space="preserve"> the governing board).  For any blended component units presented with aggregated nonmajor funds</w:t>
      </w:r>
      <w:r w:rsidR="00CC68D8" w:rsidRPr="00144090">
        <w:rPr>
          <w:iCs/>
          <w:sz w:val="22"/>
          <w:szCs w:val="22"/>
          <w:highlight w:val="green"/>
        </w:rPr>
        <w:t>,</w:t>
      </w:r>
      <w:r w:rsidRPr="00144090">
        <w:rPr>
          <w:iCs/>
          <w:sz w:val="22"/>
          <w:szCs w:val="22"/>
          <w:highlight w:val="green"/>
        </w:rPr>
        <w:t xml:space="preserve"> disclose whether they are presented with governmental, enterprise or fiduciary funds.</w:t>
      </w:r>
    </w:p>
    <w:p w14:paraId="0E54F955" w14:textId="77777777" w:rsidR="00521355" w:rsidRPr="005374C3" w:rsidRDefault="00521355" w:rsidP="00533678">
      <w:pPr>
        <w:widowControl/>
        <w:jc w:val="both"/>
        <w:rPr>
          <w:sz w:val="22"/>
          <w:szCs w:val="22"/>
          <w:highlight w:val="cyan"/>
        </w:rPr>
      </w:pPr>
    </w:p>
    <w:p w14:paraId="6CEDF34A" w14:textId="2B852F0D" w:rsidR="00521355" w:rsidRPr="005374C3" w:rsidRDefault="00AD2932" w:rsidP="00533678">
      <w:pPr>
        <w:widowControl/>
        <w:jc w:val="both"/>
        <w:rPr>
          <w:i/>
          <w:sz w:val="22"/>
          <w:szCs w:val="22"/>
        </w:rPr>
      </w:pPr>
      <w:r w:rsidRPr="005374C3">
        <w:rPr>
          <w:sz w:val="22"/>
          <w:szCs w:val="22"/>
        </w:rPr>
        <w:t>Separately audited</w:t>
      </w:r>
      <w:r w:rsidR="00521355" w:rsidRPr="005374C3">
        <w:rPr>
          <w:sz w:val="22"/>
          <w:szCs w:val="22"/>
        </w:rPr>
        <w:t xml:space="preserve"> statements for </w:t>
      </w:r>
      <w:r w:rsidR="00521355" w:rsidRPr="00B60E02">
        <w:rPr>
          <w:i/>
          <w:sz w:val="22"/>
          <w:szCs w:val="22"/>
          <w:highlight w:val="green"/>
        </w:rPr>
        <w:t>[name of component unit]</w:t>
      </w:r>
      <w:r w:rsidR="00521355" w:rsidRPr="005374C3">
        <w:rPr>
          <w:sz w:val="22"/>
          <w:szCs w:val="22"/>
        </w:rPr>
        <w:t xml:space="preserve"> are available from </w:t>
      </w:r>
      <w:r w:rsidR="00521355" w:rsidRPr="00B60E02">
        <w:rPr>
          <w:i/>
          <w:sz w:val="22"/>
          <w:szCs w:val="22"/>
          <w:highlight w:val="green"/>
        </w:rPr>
        <w:t>[</w:t>
      </w:r>
      <w:r w:rsidR="00CE5810">
        <w:rPr>
          <w:i/>
          <w:sz w:val="22"/>
          <w:szCs w:val="22"/>
          <w:highlight w:val="green"/>
        </w:rPr>
        <w:t>title</w:t>
      </w:r>
      <w:r w:rsidR="00521355" w:rsidRPr="00B60E02">
        <w:rPr>
          <w:i/>
          <w:sz w:val="22"/>
          <w:szCs w:val="22"/>
          <w:highlight w:val="green"/>
        </w:rPr>
        <w:t xml:space="preserve"> of chief fiscal office</w:t>
      </w:r>
      <w:r w:rsidR="006D0A98" w:rsidRPr="00B60E02">
        <w:rPr>
          <w:i/>
          <w:sz w:val="22"/>
          <w:szCs w:val="22"/>
          <w:highlight w:val="green"/>
        </w:rPr>
        <w:t>r</w:t>
      </w:r>
      <w:r w:rsidR="00521355" w:rsidRPr="00B60E02">
        <w:rPr>
          <w:i/>
          <w:sz w:val="22"/>
          <w:szCs w:val="22"/>
          <w:highlight w:val="green"/>
        </w:rPr>
        <w:t>, address, etc.]</w:t>
      </w:r>
      <w:r w:rsidR="00521355" w:rsidRPr="005374C3">
        <w:rPr>
          <w:i/>
          <w:sz w:val="22"/>
          <w:szCs w:val="22"/>
        </w:rPr>
        <w:t>.</w:t>
      </w:r>
    </w:p>
    <w:p w14:paraId="7F9B4DAC" w14:textId="77777777" w:rsidR="00521355" w:rsidRPr="005374C3" w:rsidRDefault="00521355" w:rsidP="00533678">
      <w:pPr>
        <w:widowControl/>
        <w:jc w:val="both"/>
        <w:rPr>
          <w:sz w:val="22"/>
          <w:szCs w:val="22"/>
        </w:rPr>
      </w:pPr>
    </w:p>
    <w:p w14:paraId="03FFBFFE" w14:textId="77777777" w:rsidR="00B60E02" w:rsidRPr="00B60E02" w:rsidRDefault="00B60E02" w:rsidP="00533678">
      <w:pPr>
        <w:widowControl/>
        <w:autoSpaceDE/>
        <w:autoSpaceDN/>
        <w:adjustRightInd/>
        <w:jc w:val="both"/>
        <w:rPr>
          <w:b/>
          <w:i/>
          <w:sz w:val="22"/>
          <w:szCs w:val="22"/>
        </w:rPr>
      </w:pPr>
      <w:r w:rsidRPr="00B60E02">
        <w:rPr>
          <w:b/>
          <w:i/>
          <w:sz w:val="22"/>
          <w:szCs w:val="22"/>
        </w:rPr>
        <w:t>Joint Ventures, Jointly Governed Organizations, Public Entity Risk Pools and Related Organizations</w:t>
      </w:r>
    </w:p>
    <w:p w14:paraId="0575142C" w14:textId="77777777" w:rsidR="00501291" w:rsidRDefault="00501291" w:rsidP="00533678">
      <w:pPr>
        <w:widowControl/>
        <w:jc w:val="both"/>
        <w:rPr>
          <w:i/>
          <w:sz w:val="22"/>
          <w:szCs w:val="22"/>
          <w:highlight w:val="yellow"/>
        </w:rPr>
      </w:pPr>
    </w:p>
    <w:p w14:paraId="7793857E" w14:textId="77777777" w:rsidR="00501291" w:rsidRPr="00BD17F4" w:rsidRDefault="00501291" w:rsidP="00533678">
      <w:pPr>
        <w:widowControl/>
        <w:jc w:val="both"/>
        <w:rPr>
          <w:b/>
          <w:i/>
          <w:sz w:val="22"/>
          <w:szCs w:val="22"/>
        </w:rPr>
      </w:pPr>
      <w:r w:rsidRPr="00BD17F4">
        <w:rPr>
          <w:i/>
          <w:sz w:val="22"/>
          <w:szCs w:val="22"/>
          <w:highlight w:val="yellow"/>
        </w:rPr>
        <w:t xml:space="preserve">[Review GASB Codification 2100, Defining the Financial Report Entity, for guidance.  Delete if the </w:t>
      </w:r>
      <w:r>
        <w:rPr>
          <w:i/>
          <w:sz w:val="22"/>
          <w:szCs w:val="22"/>
          <w:highlight w:val="yellow"/>
        </w:rPr>
        <w:t>Library</w:t>
      </w:r>
      <w:r w:rsidRPr="00BD17F4">
        <w:rPr>
          <w:i/>
          <w:sz w:val="22"/>
          <w:szCs w:val="22"/>
          <w:highlight w:val="yellow"/>
        </w:rPr>
        <w:t xml:space="preserve"> does not participate in jointly governed organizations, joint ventures and/or public entity risk pools or is not associated with related organizations.]</w:t>
      </w:r>
      <w:r w:rsidRPr="00BD17F4">
        <w:rPr>
          <w:i/>
          <w:sz w:val="22"/>
          <w:szCs w:val="22"/>
        </w:rPr>
        <w:t xml:space="preserve">  </w:t>
      </w:r>
    </w:p>
    <w:p w14:paraId="717524BD" w14:textId="77777777" w:rsidR="00B60E02" w:rsidRPr="00B60E02" w:rsidRDefault="00B60E02" w:rsidP="00533678">
      <w:pPr>
        <w:widowControl/>
        <w:autoSpaceDE/>
        <w:autoSpaceDN/>
        <w:adjustRightInd/>
        <w:jc w:val="both"/>
        <w:rPr>
          <w:b/>
          <w:i/>
          <w:sz w:val="22"/>
          <w:szCs w:val="22"/>
        </w:rPr>
      </w:pPr>
    </w:p>
    <w:p w14:paraId="360F4B24" w14:textId="77777777" w:rsidR="00B60E02" w:rsidRPr="00B60E02" w:rsidRDefault="00B60E02" w:rsidP="00533678">
      <w:pPr>
        <w:widowControl/>
        <w:autoSpaceDE/>
        <w:autoSpaceDN/>
        <w:adjustRightInd/>
        <w:jc w:val="both"/>
        <w:rPr>
          <w:sz w:val="22"/>
          <w:szCs w:val="22"/>
        </w:rPr>
      </w:pPr>
      <w:r w:rsidRPr="00B60E02">
        <w:rPr>
          <w:i/>
          <w:sz w:val="22"/>
          <w:szCs w:val="22"/>
          <w:highlight w:val="yellow"/>
        </w:rPr>
        <w:t xml:space="preserve">(Delete if the </w:t>
      </w:r>
      <w:r w:rsidR="00C65D48">
        <w:rPr>
          <w:i/>
          <w:sz w:val="22"/>
          <w:szCs w:val="22"/>
          <w:highlight w:val="yellow"/>
        </w:rPr>
        <w:t>Library</w:t>
      </w:r>
      <w:r w:rsidRPr="00B60E02">
        <w:rPr>
          <w:i/>
          <w:sz w:val="22"/>
          <w:szCs w:val="22"/>
          <w:highlight w:val="yellow"/>
        </w:rPr>
        <w:t xml:space="preserve"> does not participate in jointly governed organizations, joint ventures and/or public entity risk pools or is not associated with related organizations.)</w:t>
      </w:r>
      <w:r w:rsidRPr="00B60E02">
        <w:rPr>
          <w:i/>
          <w:sz w:val="22"/>
          <w:szCs w:val="22"/>
        </w:rPr>
        <w:t xml:space="preserve">  </w:t>
      </w:r>
      <w:r w:rsidRPr="00B60E02">
        <w:rPr>
          <w:sz w:val="22"/>
          <w:szCs w:val="22"/>
        </w:rPr>
        <w:t xml:space="preserve">The </w:t>
      </w:r>
      <w:r w:rsidR="00C65D48">
        <w:rPr>
          <w:sz w:val="22"/>
          <w:szCs w:val="22"/>
        </w:rPr>
        <w:t>Library</w:t>
      </w:r>
      <w:r w:rsidRPr="00B60E02">
        <w:rPr>
          <w:sz w:val="22"/>
          <w:szCs w:val="22"/>
        </w:rPr>
        <w:t xml:space="preserve"> participates in </w:t>
      </w:r>
      <w:r w:rsidRPr="0050650A">
        <w:rPr>
          <w:sz w:val="22"/>
          <w:szCs w:val="22"/>
          <w:highlight w:val="green"/>
        </w:rPr>
        <w:t>jointly governed organizations, joint ventures and a public entity risk pool and is associated with a related organization.</w:t>
      </w:r>
      <w:r w:rsidRPr="00B60E02">
        <w:rPr>
          <w:i/>
          <w:sz w:val="22"/>
          <w:szCs w:val="22"/>
          <w:highlight w:val="yellow"/>
        </w:rPr>
        <w:t>&lt;&lt; modify as necessary</w:t>
      </w:r>
      <w:r w:rsidRPr="00B60E02">
        <w:rPr>
          <w:i/>
          <w:sz w:val="22"/>
          <w:szCs w:val="22"/>
        </w:rPr>
        <w:t>.</w:t>
      </w:r>
      <w:r w:rsidRPr="00B60E02">
        <w:rPr>
          <w:sz w:val="22"/>
          <w:szCs w:val="22"/>
        </w:rPr>
        <w:t xml:space="preserve">  Notes </w:t>
      </w:r>
      <w:r w:rsidRPr="00B60E02">
        <w:rPr>
          <w:sz w:val="22"/>
          <w:szCs w:val="22"/>
          <w:highlight w:val="green"/>
        </w:rPr>
        <w:t>XX</w:t>
      </w:r>
      <w:r w:rsidR="0050650A">
        <w:rPr>
          <w:sz w:val="22"/>
          <w:szCs w:val="22"/>
        </w:rPr>
        <w:t xml:space="preserve">, </w:t>
      </w:r>
      <w:r w:rsidR="0050650A" w:rsidRPr="00B60E02">
        <w:rPr>
          <w:sz w:val="22"/>
          <w:szCs w:val="22"/>
          <w:highlight w:val="green"/>
        </w:rPr>
        <w:t>XX</w:t>
      </w:r>
      <w:r w:rsidR="0050650A">
        <w:rPr>
          <w:sz w:val="22"/>
          <w:szCs w:val="22"/>
        </w:rPr>
        <w:t xml:space="preserve">, </w:t>
      </w:r>
      <w:r w:rsidR="0050650A" w:rsidRPr="00B60E02">
        <w:rPr>
          <w:sz w:val="22"/>
          <w:szCs w:val="22"/>
          <w:highlight w:val="green"/>
        </w:rPr>
        <w:t>XX</w:t>
      </w:r>
      <w:r w:rsidR="0050650A">
        <w:rPr>
          <w:sz w:val="22"/>
          <w:szCs w:val="22"/>
        </w:rPr>
        <w:t xml:space="preserve"> and </w:t>
      </w:r>
      <w:r w:rsidR="0050650A" w:rsidRPr="00B60E02">
        <w:rPr>
          <w:sz w:val="22"/>
          <w:szCs w:val="22"/>
          <w:highlight w:val="green"/>
        </w:rPr>
        <w:t>XX</w:t>
      </w:r>
      <w:r w:rsidRPr="00B60E02">
        <w:rPr>
          <w:sz w:val="22"/>
          <w:szCs w:val="22"/>
        </w:rPr>
        <w:t xml:space="preserve"> to t</w:t>
      </w:r>
      <w:r w:rsidR="0050650A">
        <w:rPr>
          <w:sz w:val="22"/>
          <w:szCs w:val="22"/>
        </w:rPr>
        <w:t>he financial statements provide</w:t>
      </w:r>
      <w:r w:rsidRPr="00B60E02">
        <w:rPr>
          <w:sz w:val="22"/>
          <w:szCs w:val="22"/>
        </w:rPr>
        <w:t xml:space="preserve"> additional information for these entities. </w:t>
      </w:r>
      <w:r w:rsidRPr="00B60E02">
        <w:rPr>
          <w:i/>
          <w:sz w:val="22"/>
          <w:szCs w:val="22"/>
          <w:highlight w:val="yellow"/>
        </w:rPr>
        <w:t xml:space="preserve">(Include the </w:t>
      </w:r>
      <w:r w:rsidR="0050650A">
        <w:rPr>
          <w:i/>
          <w:sz w:val="22"/>
          <w:szCs w:val="22"/>
          <w:highlight w:val="yellow"/>
        </w:rPr>
        <w:t>appropriate footnote. Notes 14</w:t>
      </w:r>
      <w:r w:rsidRPr="00B60E02">
        <w:rPr>
          <w:i/>
          <w:sz w:val="22"/>
          <w:szCs w:val="22"/>
          <w:highlight w:val="yellow"/>
        </w:rPr>
        <w:t xml:space="preserve"> - </w:t>
      </w:r>
      <w:r w:rsidR="0050650A">
        <w:rPr>
          <w:i/>
          <w:sz w:val="22"/>
          <w:szCs w:val="22"/>
          <w:highlight w:val="yellow"/>
        </w:rPr>
        <w:t>17</w:t>
      </w:r>
      <w:r w:rsidRPr="00B60E02">
        <w:rPr>
          <w:i/>
          <w:sz w:val="22"/>
          <w:szCs w:val="22"/>
          <w:highlight w:val="yellow"/>
        </w:rPr>
        <w:t xml:space="preserve"> provide additional guidance &lt;&lt;modify note #’s as necessary)</w:t>
      </w:r>
      <w:r w:rsidRPr="00B60E02">
        <w:rPr>
          <w:sz w:val="22"/>
          <w:szCs w:val="22"/>
        </w:rPr>
        <w:t xml:space="preserve"> </w:t>
      </w:r>
    </w:p>
    <w:p w14:paraId="03C26DE3" w14:textId="77777777" w:rsidR="009852B0" w:rsidRPr="005374C3" w:rsidRDefault="00B60E02" w:rsidP="00533678">
      <w:pPr>
        <w:widowControl/>
        <w:jc w:val="both"/>
        <w:rPr>
          <w:sz w:val="22"/>
          <w:szCs w:val="22"/>
        </w:rPr>
      </w:pPr>
      <w:r w:rsidRPr="005374C3">
        <w:rPr>
          <w:i/>
          <w:sz w:val="22"/>
          <w:szCs w:val="22"/>
        </w:rPr>
        <w:t xml:space="preserve"> </w:t>
      </w:r>
    </w:p>
    <w:p w14:paraId="54FE4DB8" w14:textId="77777777" w:rsidR="00462CAA" w:rsidRPr="005374C3" w:rsidRDefault="00462CAA" w:rsidP="00533678">
      <w:pPr>
        <w:widowControl/>
        <w:jc w:val="both"/>
        <w:rPr>
          <w:sz w:val="22"/>
          <w:szCs w:val="22"/>
        </w:rPr>
      </w:pPr>
      <w:r w:rsidRPr="003407B0">
        <w:rPr>
          <w:sz w:val="22"/>
          <w:szCs w:val="22"/>
          <w:highlight w:val="green"/>
        </w:rPr>
        <w:t xml:space="preserve">The Friends of the </w:t>
      </w:r>
      <w:r w:rsidR="00AA71C5" w:rsidRPr="003407B0">
        <w:rPr>
          <w:sz w:val="22"/>
          <w:szCs w:val="22"/>
          <w:highlight w:val="green"/>
        </w:rPr>
        <w:t>XYZ Public Library</w:t>
      </w:r>
      <w:r w:rsidRPr="003407B0">
        <w:rPr>
          <w:sz w:val="22"/>
          <w:szCs w:val="22"/>
          <w:highlight w:val="green"/>
        </w:rPr>
        <w:t>, Inc. is a not-for-profit organization with a self-appointing board.  The Library is not financially accountable for the organization, nor does the Library approve the budget or the issuance of debt of the organization.</w:t>
      </w:r>
      <w:r w:rsidRPr="005374C3">
        <w:rPr>
          <w:sz w:val="22"/>
          <w:szCs w:val="22"/>
        </w:rPr>
        <w:t xml:space="preserve">  </w:t>
      </w:r>
      <w:r w:rsidR="000D67A3" w:rsidRPr="003407B0">
        <w:rPr>
          <w:i/>
          <w:sz w:val="22"/>
          <w:szCs w:val="22"/>
          <w:highlight w:val="yellow"/>
        </w:rPr>
        <w:t>(Explain which of the criteria from GASB Statement No. 39 is</w:t>
      </w:r>
      <w:r w:rsidR="00F71EA2" w:rsidRPr="003407B0">
        <w:rPr>
          <w:i/>
          <w:sz w:val="22"/>
          <w:szCs w:val="22"/>
          <w:highlight w:val="yellow"/>
        </w:rPr>
        <w:t xml:space="preserve"> not met as</w:t>
      </w:r>
      <w:r w:rsidR="000D67A3" w:rsidRPr="003407B0">
        <w:rPr>
          <w:i/>
          <w:sz w:val="22"/>
          <w:szCs w:val="22"/>
          <w:highlight w:val="yellow"/>
        </w:rPr>
        <w:t xml:space="preserve"> the basis for excluding from the reporting entity of the Library. </w:t>
      </w:r>
      <w:r w:rsidR="006B4E46" w:rsidRPr="003407B0">
        <w:rPr>
          <w:i/>
          <w:sz w:val="22"/>
          <w:szCs w:val="22"/>
          <w:highlight w:val="yellow"/>
        </w:rPr>
        <w:t>Auditor of State Bulletin 2</w:t>
      </w:r>
      <w:r w:rsidR="00F71EA2" w:rsidRPr="003407B0">
        <w:rPr>
          <w:i/>
          <w:sz w:val="22"/>
          <w:szCs w:val="22"/>
          <w:highlight w:val="yellow"/>
        </w:rPr>
        <w:t>0</w:t>
      </w:r>
      <w:r w:rsidR="006B4E46" w:rsidRPr="003407B0">
        <w:rPr>
          <w:i/>
          <w:sz w:val="22"/>
          <w:szCs w:val="22"/>
          <w:highlight w:val="yellow"/>
        </w:rPr>
        <w:t>04-001 provides guidance on determining significance.)</w:t>
      </w:r>
      <w:r w:rsidR="006B4E46" w:rsidRPr="005374C3">
        <w:rPr>
          <w:i/>
          <w:sz w:val="22"/>
          <w:szCs w:val="22"/>
        </w:rPr>
        <w:t xml:space="preserve">  </w:t>
      </w:r>
      <w:r w:rsidRPr="003407B0">
        <w:rPr>
          <w:sz w:val="22"/>
          <w:szCs w:val="22"/>
          <w:highlight w:val="green"/>
        </w:rPr>
        <w:t>Therefore, this organization has been excluded from the reporting entity of the Library.</w:t>
      </w:r>
    </w:p>
    <w:p w14:paraId="3AF864C9" w14:textId="77777777" w:rsidR="00212018" w:rsidRPr="005374C3" w:rsidRDefault="00212018" w:rsidP="00533678">
      <w:pPr>
        <w:widowControl/>
        <w:jc w:val="both"/>
        <w:rPr>
          <w:sz w:val="22"/>
          <w:szCs w:val="22"/>
          <w:highlight w:val="cyan"/>
        </w:rPr>
      </w:pPr>
    </w:p>
    <w:p w14:paraId="663F3DCC" w14:textId="77777777" w:rsidR="00212018" w:rsidRPr="005374C3" w:rsidRDefault="009852B0" w:rsidP="00533678">
      <w:pPr>
        <w:widowControl/>
        <w:jc w:val="both"/>
        <w:rPr>
          <w:sz w:val="22"/>
          <w:szCs w:val="22"/>
        </w:rPr>
      </w:pPr>
      <w:r w:rsidRPr="005374C3">
        <w:rPr>
          <w:sz w:val="22"/>
          <w:szCs w:val="22"/>
        </w:rPr>
        <w:t>The Library’s management believes these financial statements present all activities for which the Library is financially accountable.</w:t>
      </w:r>
    </w:p>
    <w:p w14:paraId="5BDEA324" w14:textId="77777777" w:rsidR="00DC7139" w:rsidRPr="005374C3" w:rsidRDefault="00DC7139" w:rsidP="00533678">
      <w:pPr>
        <w:widowControl/>
        <w:jc w:val="both"/>
        <w:rPr>
          <w:sz w:val="24"/>
          <w:szCs w:val="24"/>
          <w:lang w:eastAsia="ja-JP"/>
        </w:rPr>
      </w:pPr>
      <w:r w:rsidRPr="005374C3">
        <w:rPr>
          <w:b/>
          <w:sz w:val="24"/>
          <w:szCs w:val="24"/>
          <w:lang w:eastAsia="ja-JP"/>
        </w:rPr>
        <w:lastRenderedPageBreak/>
        <w:t xml:space="preserve">Note 2 </w:t>
      </w:r>
      <w:r w:rsidR="00BA56F7" w:rsidRPr="005374C3">
        <w:rPr>
          <w:b/>
          <w:bCs/>
          <w:sz w:val="24"/>
          <w:szCs w:val="24"/>
        </w:rPr>
        <w:t>–</w:t>
      </w:r>
      <w:r w:rsidRPr="005374C3">
        <w:rPr>
          <w:b/>
          <w:sz w:val="24"/>
          <w:szCs w:val="24"/>
          <w:lang w:eastAsia="ja-JP"/>
        </w:rPr>
        <w:t xml:space="preserve"> Summary of Significant Accounting Policies</w:t>
      </w:r>
    </w:p>
    <w:p w14:paraId="07257925" w14:textId="77777777" w:rsidR="00DC7139" w:rsidRDefault="00DC7139" w:rsidP="00533678">
      <w:pPr>
        <w:widowControl/>
        <w:jc w:val="both"/>
        <w:rPr>
          <w:sz w:val="22"/>
          <w:szCs w:val="22"/>
          <w:lang w:eastAsia="ja-JP"/>
        </w:rPr>
      </w:pPr>
    </w:p>
    <w:p w14:paraId="43A5247B" w14:textId="77777777" w:rsidR="00B60E02" w:rsidRPr="00B60E02" w:rsidRDefault="00B60E02" w:rsidP="00533678">
      <w:pPr>
        <w:widowControl/>
        <w:autoSpaceDE/>
        <w:autoSpaceDN/>
        <w:adjustRightInd/>
        <w:jc w:val="both"/>
        <w:rPr>
          <w:sz w:val="22"/>
          <w:szCs w:val="22"/>
        </w:rPr>
      </w:pPr>
      <w:r w:rsidRPr="00B60E02">
        <w:rPr>
          <w:sz w:val="22"/>
          <w:szCs w:val="22"/>
        </w:rPr>
        <w:t xml:space="preserve">As discussed further in the “Basis of Accounting” section of this note, these financial statements are presented on a </w:t>
      </w:r>
      <w:r w:rsidRPr="00B60E02">
        <w:rPr>
          <w:sz w:val="22"/>
          <w:szCs w:val="22"/>
          <w:highlight w:val="green"/>
        </w:rPr>
        <w:t>modified</w:t>
      </w:r>
      <w:r w:rsidRPr="00B60E02">
        <w:rPr>
          <w:sz w:val="22"/>
          <w:szCs w:val="22"/>
        </w:rPr>
        <w:t xml:space="preserve"> cash basis of accounting.  This </w:t>
      </w:r>
      <w:r w:rsidRPr="00B60E02">
        <w:rPr>
          <w:sz w:val="22"/>
          <w:szCs w:val="22"/>
          <w:highlight w:val="green"/>
        </w:rPr>
        <w:t>modified</w:t>
      </w:r>
      <w:r w:rsidRPr="00B60E02">
        <w:rPr>
          <w:sz w:val="22"/>
          <w:szCs w:val="22"/>
        </w:rPr>
        <w:t xml:space="preserve"> cash basis of accounting differs from accounting principles generally accepted in the United States of America (GAAP).  Generally accepted accounting principles include all relevant Governmental Accounting Standards Board (GASB) pronouncements, which have been applied to the extent they are applicable to the </w:t>
      </w:r>
      <w:r w:rsidRPr="00B60E02">
        <w:rPr>
          <w:sz w:val="22"/>
          <w:szCs w:val="22"/>
          <w:highlight w:val="green"/>
        </w:rPr>
        <w:t>modified</w:t>
      </w:r>
      <w:r w:rsidRPr="00B60E02">
        <w:rPr>
          <w:sz w:val="22"/>
          <w:szCs w:val="22"/>
        </w:rPr>
        <w:t xml:space="preserve"> cash basis of accounting</w:t>
      </w:r>
      <w:r w:rsidRPr="00B60E02">
        <w:rPr>
          <w:i/>
          <w:sz w:val="22"/>
          <w:szCs w:val="22"/>
        </w:rPr>
        <w:t xml:space="preserve">. </w:t>
      </w:r>
      <w:r w:rsidRPr="00B60E02">
        <w:rPr>
          <w:sz w:val="22"/>
          <w:szCs w:val="22"/>
        </w:rPr>
        <w:t xml:space="preserve">Following </w:t>
      </w:r>
      <w:proofErr w:type="gramStart"/>
      <w:r w:rsidRPr="00B60E02">
        <w:rPr>
          <w:sz w:val="22"/>
          <w:szCs w:val="22"/>
        </w:rPr>
        <w:t>are</w:t>
      </w:r>
      <w:proofErr w:type="gramEnd"/>
      <w:r w:rsidRPr="00B60E02">
        <w:rPr>
          <w:sz w:val="22"/>
          <w:szCs w:val="22"/>
        </w:rPr>
        <w:t xml:space="preserve"> the more significant of the </w:t>
      </w:r>
      <w:r>
        <w:rPr>
          <w:sz w:val="22"/>
          <w:szCs w:val="22"/>
        </w:rPr>
        <w:t>Library</w:t>
      </w:r>
      <w:r w:rsidRPr="00B60E02">
        <w:rPr>
          <w:sz w:val="22"/>
          <w:szCs w:val="22"/>
        </w:rPr>
        <w:t>’s accounting policies.</w:t>
      </w:r>
    </w:p>
    <w:p w14:paraId="31756AAF" w14:textId="77777777" w:rsidR="00B60E02" w:rsidRPr="005374C3" w:rsidRDefault="00B60E02" w:rsidP="00533678">
      <w:pPr>
        <w:widowControl/>
        <w:jc w:val="both"/>
        <w:rPr>
          <w:sz w:val="22"/>
          <w:szCs w:val="22"/>
          <w:lang w:eastAsia="ja-JP"/>
        </w:rPr>
      </w:pPr>
    </w:p>
    <w:p w14:paraId="008A99EA" w14:textId="77777777" w:rsidR="00DC7139" w:rsidRDefault="00DC7139" w:rsidP="00533678">
      <w:pPr>
        <w:widowControl/>
        <w:jc w:val="both"/>
        <w:rPr>
          <w:b/>
          <w:i/>
          <w:sz w:val="22"/>
          <w:szCs w:val="22"/>
          <w:lang w:eastAsia="ja-JP"/>
        </w:rPr>
      </w:pPr>
      <w:r w:rsidRPr="005374C3">
        <w:rPr>
          <w:b/>
          <w:i/>
          <w:sz w:val="22"/>
          <w:szCs w:val="22"/>
          <w:lang w:eastAsia="ja-JP"/>
        </w:rPr>
        <w:t>Basis of Presentation</w:t>
      </w:r>
    </w:p>
    <w:p w14:paraId="603F4D6B" w14:textId="77777777" w:rsidR="00B60E02" w:rsidRDefault="00B60E02" w:rsidP="00533678">
      <w:pPr>
        <w:widowControl/>
        <w:jc w:val="both"/>
        <w:rPr>
          <w:b/>
          <w:i/>
          <w:sz w:val="22"/>
          <w:szCs w:val="22"/>
          <w:lang w:eastAsia="ja-JP"/>
        </w:rPr>
      </w:pPr>
    </w:p>
    <w:p w14:paraId="7789F08A" w14:textId="77777777" w:rsidR="00B60E02" w:rsidRPr="00B60E02" w:rsidRDefault="00B60E02" w:rsidP="00533678">
      <w:pPr>
        <w:widowControl/>
        <w:autoSpaceDE/>
        <w:autoSpaceDN/>
        <w:adjustRightInd/>
        <w:jc w:val="both"/>
        <w:rPr>
          <w:i/>
          <w:sz w:val="22"/>
          <w:szCs w:val="22"/>
        </w:rPr>
      </w:pPr>
      <w:r w:rsidRPr="00B60E02">
        <w:rPr>
          <w:i/>
          <w:sz w:val="22"/>
          <w:szCs w:val="22"/>
          <w:highlight w:val="yellow"/>
        </w:rPr>
        <w:t>Edit this section of the notes for the financial statements that are included in your financial statements – delete any information that you are not presenting.</w:t>
      </w:r>
    </w:p>
    <w:p w14:paraId="01DDCE4E" w14:textId="77777777" w:rsidR="00DC7139" w:rsidRPr="005374C3" w:rsidRDefault="00DC7139" w:rsidP="00533678">
      <w:pPr>
        <w:widowControl/>
        <w:jc w:val="both"/>
        <w:rPr>
          <w:sz w:val="22"/>
          <w:szCs w:val="22"/>
          <w:lang w:eastAsia="ja-JP"/>
        </w:rPr>
      </w:pPr>
    </w:p>
    <w:p w14:paraId="354036AA" w14:textId="77777777" w:rsidR="00DC7139" w:rsidRPr="005374C3" w:rsidRDefault="00DC7139" w:rsidP="00533678">
      <w:pPr>
        <w:widowControl/>
        <w:jc w:val="both"/>
        <w:rPr>
          <w:sz w:val="22"/>
          <w:szCs w:val="22"/>
          <w:lang w:eastAsia="ja-JP"/>
        </w:rPr>
      </w:pPr>
      <w:r w:rsidRPr="005374C3">
        <w:rPr>
          <w:sz w:val="22"/>
          <w:szCs w:val="22"/>
          <w:lang w:eastAsia="ja-JP"/>
        </w:rPr>
        <w:t xml:space="preserve">The </w:t>
      </w:r>
      <w:r w:rsidR="008B3E52" w:rsidRPr="005374C3">
        <w:rPr>
          <w:sz w:val="22"/>
          <w:szCs w:val="22"/>
          <w:lang w:eastAsia="ja-JP"/>
        </w:rPr>
        <w:t>Librar</w:t>
      </w:r>
      <w:r w:rsidRPr="005374C3">
        <w:rPr>
          <w:sz w:val="22"/>
          <w:szCs w:val="22"/>
          <w:lang w:eastAsia="ja-JP"/>
        </w:rPr>
        <w:t xml:space="preserve">y’s basic financial statements consist of government-wide statements, including a statement of net </w:t>
      </w:r>
      <w:r w:rsidR="00F15267">
        <w:rPr>
          <w:sz w:val="22"/>
          <w:szCs w:val="22"/>
          <w:lang w:eastAsia="ja-JP"/>
        </w:rPr>
        <w:t>position</w:t>
      </w:r>
      <w:r w:rsidRPr="005374C3">
        <w:rPr>
          <w:sz w:val="22"/>
          <w:szCs w:val="22"/>
          <w:lang w:eastAsia="ja-JP"/>
        </w:rPr>
        <w:t xml:space="preserve"> and a statement of activities, and fund financial statements, which provide a more detailed level of financial information.</w:t>
      </w:r>
    </w:p>
    <w:p w14:paraId="7B7DF7AA" w14:textId="77777777" w:rsidR="003B14F6" w:rsidRPr="005374C3" w:rsidRDefault="003B14F6" w:rsidP="00533678">
      <w:pPr>
        <w:widowControl/>
        <w:jc w:val="both"/>
        <w:rPr>
          <w:b/>
          <w:i/>
          <w:sz w:val="22"/>
          <w:szCs w:val="22"/>
          <w:lang w:eastAsia="ja-JP"/>
        </w:rPr>
      </w:pPr>
    </w:p>
    <w:p w14:paraId="2A9338C8" w14:textId="77777777" w:rsidR="003B14F6" w:rsidRPr="005374C3" w:rsidRDefault="003B14F6" w:rsidP="00533678">
      <w:pPr>
        <w:widowControl/>
        <w:jc w:val="both"/>
        <w:rPr>
          <w:sz w:val="22"/>
          <w:szCs w:val="22"/>
          <w:lang w:eastAsia="ja-JP"/>
        </w:rPr>
      </w:pPr>
      <w:r w:rsidRPr="005374C3">
        <w:rPr>
          <w:b/>
          <w:i/>
          <w:sz w:val="22"/>
          <w:szCs w:val="22"/>
          <w:lang w:eastAsia="ja-JP"/>
        </w:rPr>
        <w:t>Government-wide Financial Statements</w:t>
      </w:r>
      <w:r w:rsidR="00680E4A">
        <w:rPr>
          <w:b/>
          <w:i/>
          <w:sz w:val="22"/>
          <w:szCs w:val="22"/>
          <w:lang w:eastAsia="ja-JP"/>
        </w:rPr>
        <w:t xml:space="preserve">  </w:t>
      </w:r>
      <w:r w:rsidR="005374C3">
        <w:rPr>
          <w:sz w:val="22"/>
          <w:szCs w:val="22"/>
          <w:lang w:eastAsia="ja-JP"/>
        </w:rPr>
        <w:t>T</w:t>
      </w:r>
      <w:r w:rsidRPr="005374C3">
        <w:rPr>
          <w:sz w:val="22"/>
          <w:szCs w:val="22"/>
          <w:lang w:eastAsia="ja-JP"/>
        </w:rPr>
        <w:t xml:space="preserve">he statement of net </w:t>
      </w:r>
      <w:r w:rsidR="00F15267">
        <w:rPr>
          <w:sz w:val="22"/>
          <w:szCs w:val="22"/>
          <w:lang w:eastAsia="ja-JP"/>
        </w:rPr>
        <w:t>position</w:t>
      </w:r>
      <w:r w:rsidRPr="005374C3">
        <w:rPr>
          <w:sz w:val="22"/>
          <w:szCs w:val="22"/>
          <w:lang w:eastAsia="ja-JP"/>
        </w:rPr>
        <w:t xml:space="preserve"> and the statement of activities display information about the Library as a whole.  </w:t>
      </w:r>
      <w:r w:rsidRPr="005374C3">
        <w:rPr>
          <w:sz w:val="22"/>
          <w:szCs w:val="22"/>
        </w:rPr>
        <w:t xml:space="preserve">These statements include the financial activities of the </w:t>
      </w:r>
      <w:r w:rsidR="00D02870">
        <w:rPr>
          <w:sz w:val="22"/>
          <w:szCs w:val="22"/>
        </w:rPr>
        <w:t>library</w:t>
      </w:r>
      <w:r w:rsidRPr="005374C3">
        <w:rPr>
          <w:sz w:val="22"/>
          <w:szCs w:val="22"/>
        </w:rPr>
        <w:t xml:space="preserve">, except for fiduciary funds.  The activity of the internal service fund is eliminated to avoid “doubling up” receipts and disbursements.  The statements distinguish between those activities of the Library that are governmental and those that are considered business-type.  Governmental activities generally are financed through taxes, intergovernmental receipts and other nonexchange transactions.  Business-type activities are financed in whole or in part by fees charged to external parties for goods or services.   </w:t>
      </w:r>
      <w:r w:rsidRPr="005374C3">
        <w:rPr>
          <w:sz w:val="22"/>
          <w:szCs w:val="22"/>
          <w:lang w:eastAsia="ja-JP"/>
        </w:rPr>
        <w:t xml:space="preserve"> </w:t>
      </w:r>
    </w:p>
    <w:p w14:paraId="6CF62C97" w14:textId="77777777" w:rsidR="00AB30CA" w:rsidRPr="005374C3" w:rsidRDefault="00AB30CA" w:rsidP="00533678">
      <w:pPr>
        <w:widowControl/>
        <w:jc w:val="both"/>
        <w:rPr>
          <w:sz w:val="22"/>
          <w:szCs w:val="22"/>
          <w:lang w:eastAsia="ja-JP"/>
        </w:rPr>
      </w:pPr>
    </w:p>
    <w:p w14:paraId="3B199830" w14:textId="77777777" w:rsidR="00D45FD5" w:rsidRPr="005374C3" w:rsidRDefault="00465767" w:rsidP="00533678">
      <w:pPr>
        <w:widowControl/>
        <w:jc w:val="both"/>
        <w:rPr>
          <w:sz w:val="22"/>
          <w:szCs w:val="22"/>
          <w:lang w:eastAsia="ja-JP"/>
        </w:rPr>
      </w:pPr>
      <w:r w:rsidRPr="005374C3">
        <w:rPr>
          <w:sz w:val="22"/>
          <w:szCs w:val="22"/>
          <w:lang w:eastAsia="ja-JP"/>
        </w:rPr>
        <w:t xml:space="preserve">The statement of net </w:t>
      </w:r>
      <w:r w:rsidR="00F15267">
        <w:rPr>
          <w:sz w:val="22"/>
          <w:szCs w:val="22"/>
          <w:lang w:eastAsia="ja-JP"/>
        </w:rPr>
        <w:t>position</w:t>
      </w:r>
      <w:r w:rsidRPr="005374C3">
        <w:rPr>
          <w:sz w:val="22"/>
          <w:szCs w:val="22"/>
          <w:lang w:eastAsia="ja-JP"/>
        </w:rPr>
        <w:t xml:space="preserve"> presents the cash </w:t>
      </w:r>
      <w:r w:rsidR="00A31B5E" w:rsidRPr="005374C3">
        <w:rPr>
          <w:sz w:val="22"/>
          <w:szCs w:val="22"/>
          <w:lang w:eastAsia="ja-JP"/>
        </w:rPr>
        <w:t xml:space="preserve">and investment </w:t>
      </w:r>
      <w:r w:rsidRPr="005374C3">
        <w:rPr>
          <w:sz w:val="22"/>
          <w:szCs w:val="22"/>
          <w:lang w:eastAsia="ja-JP"/>
        </w:rPr>
        <w:t>balance</w:t>
      </w:r>
      <w:r w:rsidR="00A31B5E" w:rsidRPr="005374C3">
        <w:rPr>
          <w:sz w:val="22"/>
          <w:szCs w:val="22"/>
          <w:lang w:eastAsia="ja-JP"/>
        </w:rPr>
        <w:t>s</w:t>
      </w:r>
      <w:r w:rsidR="000D3001" w:rsidRPr="005374C3">
        <w:rPr>
          <w:sz w:val="22"/>
          <w:szCs w:val="22"/>
          <w:lang w:eastAsia="ja-JP"/>
        </w:rPr>
        <w:t xml:space="preserve">, </w:t>
      </w:r>
      <w:r w:rsidR="000D3001" w:rsidRPr="00B60E02">
        <w:rPr>
          <w:sz w:val="22"/>
          <w:szCs w:val="22"/>
          <w:highlight w:val="green"/>
          <w:lang w:eastAsia="ja-JP"/>
        </w:rPr>
        <w:t>inventory, prepaid</w:t>
      </w:r>
      <w:r w:rsidR="00A31B5E" w:rsidRPr="00B60E02">
        <w:rPr>
          <w:sz w:val="22"/>
          <w:szCs w:val="22"/>
          <w:highlight w:val="green"/>
          <w:lang w:eastAsia="ja-JP"/>
        </w:rPr>
        <w:t xml:space="preserve"> item</w:t>
      </w:r>
      <w:r w:rsidR="000D3001" w:rsidRPr="00B60E02">
        <w:rPr>
          <w:sz w:val="22"/>
          <w:szCs w:val="22"/>
          <w:highlight w:val="green"/>
          <w:lang w:eastAsia="ja-JP"/>
        </w:rPr>
        <w:t>s, interfund loan balances, capital assets and debt</w:t>
      </w:r>
      <w:r w:rsidR="000D3001" w:rsidRPr="00B60E02">
        <w:rPr>
          <w:sz w:val="22"/>
          <w:szCs w:val="22"/>
          <w:lang w:eastAsia="ja-JP"/>
        </w:rPr>
        <w:t xml:space="preserve"> </w:t>
      </w:r>
      <w:r w:rsidR="0050650A" w:rsidRPr="0050650A">
        <w:rPr>
          <w:sz w:val="22"/>
          <w:szCs w:val="22"/>
          <w:highlight w:val="yellow"/>
          <w:lang w:eastAsia="ja-JP"/>
        </w:rPr>
        <w:t>(modify as needed)</w:t>
      </w:r>
      <w:r w:rsidR="0050650A">
        <w:rPr>
          <w:sz w:val="22"/>
          <w:szCs w:val="22"/>
          <w:lang w:eastAsia="ja-JP"/>
        </w:rPr>
        <w:t xml:space="preserve"> </w:t>
      </w:r>
      <w:r w:rsidRPr="005374C3">
        <w:rPr>
          <w:sz w:val="22"/>
          <w:szCs w:val="22"/>
          <w:lang w:eastAsia="ja-JP"/>
        </w:rPr>
        <w:t xml:space="preserve">of the governmental and business-type activities of the Library at year end.  The statement of activities compares disbursements with program receipts for each of the Library's governmental and business-type activities.  Disbursements are reported by function. A function is a group of related activities designed to accomplish a major service or regulatory program for which the </w:t>
      </w:r>
      <w:r w:rsidR="00B60856" w:rsidRPr="005374C3">
        <w:rPr>
          <w:sz w:val="22"/>
          <w:szCs w:val="22"/>
          <w:lang w:eastAsia="ja-JP"/>
        </w:rPr>
        <w:t>Library</w:t>
      </w:r>
      <w:r w:rsidRPr="005374C3">
        <w:rPr>
          <w:sz w:val="22"/>
          <w:szCs w:val="22"/>
          <w:lang w:eastAsia="ja-JP"/>
        </w:rPr>
        <w:t xml:space="preserve"> is responsible.  Program receipts include charges paid by the recipient of the program’s goods or services</w:t>
      </w:r>
      <w:r w:rsidR="00AA6AC3" w:rsidRPr="005374C3">
        <w:rPr>
          <w:sz w:val="22"/>
          <w:szCs w:val="22"/>
          <w:lang w:eastAsia="ja-JP"/>
        </w:rPr>
        <w:t xml:space="preserve">, </w:t>
      </w:r>
      <w:r w:rsidRPr="005374C3">
        <w:rPr>
          <w:sz w:val="22"/>
          <w:szCs w:val="22"/>
          <w:lang w:eastAsia="ja-JP"/>
        </w:rPr>
        <w:t>grants and contributions restricted to meeting the operational or capital requirements of a particular program</w:t>
      </w:r>
      <w:r w:rsidR="00AA6AC3" w:rsidRPr="005374C3">
        <w:rPr>
          <w:sz w:val="22"/>
          <w:szCs w:val="22"/>
          <w:lang w:eastAsia="ja-JP"/>
        </w:rPr>
        <w:t xml:space="preserve">, and </w:t>
      </w:r>
      <w:r w:rsidR="00AA6AC3" w:rsidRPr="005374C3">
        <w:rPr>
          <w:sz w:val="22"/>
          <w:szCs w:val="22"/>
        </w:rPr>
        <w:t>receipts of interest earned on grants that are required to be used to support a particular program.</w:t>
      </w:r>
      <w:r w:rsidRPr="005374C3">
        <w:rPr>
          <w:sz w:val="22"/>
          <w:szCs w:val="22"/>
          <w:lang w:eastAsia="ja-JP"/>
        </w:rPr>
        <w:t xml:space="preserve"> General receipts are all receipts not classified as program receipts, with certain limited exceptions.   The comparison of direct disbursements with program receipts identifies the extent to which each governmental function or business-type activity is self-financing on a </w:t>
      </w:r>
      <w:r w:rsidRPr="00B60E02">
        <w:rPr>
          <w:sz w:val="22"/>
          <w:szCs w:val="22"/>
          <w:highlight w:val="green"/>
          <w:lang w:eastAsia="ja-JP"/>
        </w:rPr>
        <w:t>modified</w:t>
      </w:r>
      <w:r w:rsidRPr="005374C3">
        <w:rPr>
          <w:sz w:val="22"/>
          <w:szCs w:val="22"/>
          <w:lang w:eastAsia="ja-JP"/>
        </w:rPr>
        <w:t xml:space="preserve"> cash basis or draws from the </w:t>
      </w:r>
      <w:r w:rsidR="002B10A6" w:rsidRPr="005374C3">
        <w:rPr>
          <w:sz w:val="22"/>
          <w:szCs w:val="22"/>
          <w:lang w:eastAsia="ja-JP"/>
        </w:rPr>
        <w:t>Library</w:t>
      </w:r>
      <w:r w:rsidRPr="005374C3">
        <w:rPr>
          <w:sz w:val="22"/>
          <w:szCs w:val="22"/>
          <w:lang w:eastAsia="ja-JP"/>
        </w:rPr>
        <w:t>’s general receipts.</w:t>
      </w:r>
    </w:p>
    <w:p w14:paraId="2674494F" w14:textId="77777777" w:rsidR="002071D1" w:rsidRPr="005374C3" w:rsidRDefault="002071D1" w:rsidP="00533678">
      <w:pPr>
        <w:widowControl/>
        <w:jc w:val="both"/>
        <w:rPr>
          <w:sz w:val="22"/>
          <w:szCs w:val="22"/>
          <w:lang w:eastAsia="ja-JP"/>
        </w:rPr>
      </w:pPr>
    </w:p>
    <w:p w14:paraId="1F3ACD80" w14:textId="77777777" w:rsidR="00D45FD5" w:rsidRDefault="00DC7139" w:rsidP="00533678">
      <w:pPr>
        <w:widowControl/>
        <w:jc w:val="both"/>
        <w:rPr>
          <w:sz w:val="22"/>
          <w:szCs w:val="22"/>
          <w:lang w:eastAsia="ja-JP"/>
        </w:rPr>
      </w:pPr>
      <w:r w:rsidRPr="005374C3">
        <w:rPr>
          <w:b/>
          <w:i/>
          <w:sz w:val="22"/>
          <w:szCs w:val="22"/>
          <w:lang w:eastAsia="ja-JP"/>
        </w:rPr>
        <w:t>Fund Financial Statements</w:t>
      </w:r>
      <w:r w:rsidR="005374C3">
        <w:rPr>
          <w:b/>
          <w:i/>
          <w:sz w:val="22"/>
          <w:szCs w:val="22"/>
          <w:lang w:eastAsia="ja-JP"/>
        </w:rPr>
        <w:t xml:space="preserve"> </w:t>
      </w:r>
      <w:r w:rsidR="002B0FF6">
        <w:rPr>
          <w:b/>
          <w:i/>
          <w:sz w:val="22"/>
          <w:szCs w:val="22"/>
          <w:lang w:eastAsia="ja-JP"/>
        </w:rPr>
        <w:t xml:space="preserve"> </w:t>
      </w:r>
      <w:r w:rsidR="005374C3">
        <w:rPr>
          <w:b/>
          <w:i/>
          <w:sz w:val="22"/>
          <w:szCs w:val="22"/>
          <w:lang w:eastAsia="ja-JP"/>
        </w:rPr>
        <w:t xml:space="preserve"> </w:t>
      </w:r>
      <w:r w:rsidRPr="005374C3">
        <w:rPr>
          <w:sz w:val="22"/>
          <w:szCs w:val="22"/>
          <w:lang w:eastAsia="ja-JP"/>
        </w:rPr>
        <w:t xml:space="preserve">During the year, the </w:t>
      </w:r>
      <w:proofErr w:type="gramStart"/>
      <w:r w:rsidR="008B3E52" w:rsidRPr="005374C3">
        <w:rPr>
          <w:sz w:val="22"/>
          <w:szCs w:val="22"/>
          <w:lang w:eastAsia="ja-JP"/>
        </w:rPr>
        <w:t>Library</w:t>
      </w:r>
      <w:proofErr w:type="gramEnd"/>
      <w:r w:rsidRPr="005374C3">
        <w:rPr>
          <w:sz w:val="22"/>
          <w:szCs w:val="22"/>
          <w:lang w:eastAsia="ja-JP"/>
        </w:rPr>
        <w:t xml:space="preserve"> segregates trans</w:t>
      </w:r>
      <w:r w:rsidR="008B3E52" w:rsidRPr="005374C3">
        <w:rPr>
          <w:sz w:val="22"/>
          <w:szCs w:val="22"/>
          <w:lang w:eastAsia="ja-JP"/>
        </w:rPr>
        <w:t>actions related to certain Librar</w:t>
      </w:r>
      <w:r w:rsidRPr="005374C3">
        <w:rPr>
          <w:sz w:val="22"/>
          <w:szCs w:val="22"/>
          <w:lang w:eastAsia="ja-JP"/>
        </w:rPr>
        <w:t xml:space="preserve">y functions or activities in separate funds in order to aid financial management and to demonstrate legal compliance.  Fund financial statements are designed to present financial information of the </w:t>
      </w:r>
      <w:r w:rsidR="008B3E52" w:rsidRPr="005374C3">
        <w:rPr>
          <w:sz w:val="22"/>
          <w:szCs w:val="22"/>
          <w:lang w:eastAsia="ja-JP"/>
        </w:rPr>
        <w:t>Library</w:t>
      </w:r>
      <w:r w:rsidRPr="005374C3">
        <w:rPr>
          <w:sz w:val="22"/>
          <w:szCs w:val="22"/>
          <w:lang w:eastAsia="ja-JP"/>
        </w:rPr>
        <w:t xml:space="preserve"> at this more detailed level.  The focus of governmental </w:t>
      </w:r>
      <w:r w:rsidR="00190FFF" w:rsidRPr="005374C3">
        <w:rPr>
          <w:sz w:val="22"/>
          <w:szCs w:val="22"/>
          <w:lang w:eastAsia="ja-JP"/>
        </w:rPr>
        <w:t>and enterprise</w:t>
      </w:r>
      <w:r w:rsidR="00190FFF" w:rsidRPr="005374C3">
        <w:rPr>
          <w:i/>
          <w:sz w:val="22"/>
          <w:szCs w:val="22"/>
          <w:lang w:eastAsia="ja-JP"/>
        </w:rPr>
        <w:t xml:space="preserve"> </w:t>
      </w:r>
      <w:r w:rsidRPr="005374C3">
        <w:rPr>
          <w:sz w:val="22"/>
          <w:szCs w:val="22"/>
          <w:lang w:eastAsia="ja-JP"/>
        </w:rPr>
        <w:t>fund financial statements is on major funds.  Each major fund is presented in a separate column.  Nonmajor funds are aggregated an</w:t>
      </w:r>
      <w:r w:rsidR="00190FFF" w:rsidRPr="005374C3">
        <w:rPr>
          <w:sz w:val="22"/>
          <w:szCs w:val="22"/>
          <w:lang w:eastAsia="ja-JP"/>
        </w:rPr>
        <w:t xml:space="preserve">d presented in a single column.  </w:t>
      </w:r>
      <w:r w:rsidR="00190FFF" w:rsidRPr="00B60E02">
        <w:rPr>
          <w:sz w:val="22"/>
          <w:szCs w:val="22"/>
          <w:highlight w:val="green"/>
          <w:lang w:eastAsia="ja-JP"/>
        </w:rPr>
        <w:t>The internal service funds are presented in a single column on the face of the proprietary fund statements.</w:t>
      </w:r>
      <w:r w:rsidR="00190FFF" w:rsidRPr="005374C3">
        <w:rPr>
          <w:sz w:val="22"/>
          <w:szCs w:val="22"/>
          <w:lang w:eastAsia="ja-JP"/>
        </w:rPr>
        <w:t xml:space="preserve">  Fiduciary funds are reported by type.</w:t>
      </w:r>
      <w:r w:rsidRPr="005374C3">
        <w:rPr>
          <w:sz w:val="22"/>
          <w:szCs w:val="22"/>
          <w:lang w:eastAsia="ja-JP"/>
        </w:rPr>
        <w:t xml:space="preserve"> </w:t>
      </w:r>
    </w:p>
    <w:p w14:paraId="2DEA7B7F" w14:textId="77777777" w:rsidR="0050650A" w:rsidRDefault="0050650A" w:rsidP="00533678">
      <w:pPr>
        <w:widowControl/>
        <w:jc w:val="both"/>
        <w:rPr>
          <w:sz w:val="22"/>
          <w:szCs w:val="22"/>
          <w:lang w:eastAsia="ja-JP"/>
        </w:rPr>
      </w:pPr>
    </w:p>
    <w:p w14:paraId="1968D821" w14:textId="77777777" w:rsidR="00144090" w:rsidRPr="005374C3" w:rsidRDefault="00144090" w:rsidP="00533678">
      <w:pPr>
        <w:widowControl/>
        <w:jc w:val="both"/>
        <w:rPr>
          <w:sz w:val="22"/>
          <w:szCs w:val="22"/>
          <w:lang w:eastAsia="ja-JP"/>
        </w:rPr>
      </w:pPr>
    </w:p>
    <w:p w14:paraId="1790825E" w14:textId="77777777" w:rsidR="00190FFF" w:rsidRPr="005374C3" w:rsidRDefault="00190FFF" w:rsidP="00533678">
      <w:pPr>
        <w:widowControl/>
        <w:jc w:val="both"/>
        <w:rPr>
          <w:sz w:val="22"/>
          <w:szCs w:val="22"/>
          <w:u w:val="single"/>
          <w:lang w:eastAsia="ja-JP"/>
        </w:rPr>
      </w:pPr>
      <w:r w:rsidRPr="005374C3">
        <w:rPr>
          <w:sz w:val="22"/>
          <w:szCs w:val="22"/>
        </w:rPr>
        <w:lastRenderedPageBreak/>
        <w:t xml:space="preserve">Proprietary fund statements distinguish operating transactions from nonoperating transactions.  Operating receipts generally result from exchange transactions such as charges for services directly relating to the funds’ principal services. Operating disbursements include costs of sales and services and administrative costs.  The </w:t>
      </w:r>
      <w:r w:rsidR="00A31B5E" w:rsidRPr="005374C3">
        <w:rPr>
          <w:sz w:val="22"/>
          <w:szCs w:val="22"/>
        </w:rPr>
        <w:t xml:space="preserve">proprietary </w:t>
      </w:r>
      <w:r w:rsidRPr="005374C3">
        <w:rPr>
          <w:sz w:val="22"/>
          <w:szCs w:val="22"/>
        </w:rPr>
        <w:t>fund statements report all other receipts and disbursements as nonoperating.</w:t>
      </w:r>
    </w:p>
    <w:p w14:paraId="1DE611B7" w14:textId="77777777" w:rsidR="00190FFF" w:rsidRPr="005374C3" w:rsidRDefault="00190FFF" w:rsidP="00533678">
      <w:pPr>
        <w:widowControl/>
        <w:jc w:val="both"/>
        <w:rPr>
          <w:sz w:val="22"/>
          <w:szCs w:val="22"/>
          <w:u w:val="single"/>
          <w:lang w:eastAsia="ja-JP"/>
        </w:rPr>
      </w:pPr>
    </w:p>
    <w:p w14:paraId="1E424A7C" w14:textId="77777777" w:rsidR="00DC7139" w:rsidRDefault="00DC7139" w:rsidP="00533678">
      <w:pPr>
        <w:widowControl/>
        <w:jc w:val="both"/>
        <w:rPr>
          <w:b/>
          <w:i/>
          <w:sz w:val="22"/>
          <w:szCs w:val="22"/>
          <w:lang w:eastAsia="ja-JP"/>
        </w:rPr>
      </w:pPr>
      <w:r w:rsidRPr="005374C3">
        <w:rPr>
          <w:b/>
          <w:i/>
          <w:sz w:val="22"/>
          <w:szCs w:val="22"/>
          <w:lang w:eastAsia="ja-JP"/>
        </w:rPr>
        <w:t>Fund Accounting</w:t>
      </w:r>
    </w:p>
    <w:p w14:paraId="703048F1" w14:textId="77777777" w:rsidR="00501291" w:rsidRDefault="00501291" w:rsidP="00533678">
      <w:pPr>
        <w:widowControl/>
        <w:jc w:val="both"/>
        <w:rPr>
          <w:b/>
          <w:i/>
          <w:sz w:val="22"/>
          <w:szCs w:val="22"/>
          <w:lang w:eastAsia="ja-JP"/>
        </w:rPr>
      </w:pPr>
    </w:p>
    <w:p w14:paraId="076B33D9" w14:textId="77777777" w:rsidR="00501291" w:rsidRPr="005D701D" w:rsidRDefault="00501291" w:rsidP="00533678">
      <w:pPr>
        <w:widowControl/>
        <w:tabs>
          <w:tab w:val="left" w:pos="0"/>
          <w:tab w:val="left" w:pos="547"/>
          <w:tab w:val="left" w:pos="907"/>
          <w:tab w:val="left" w:pos="1440"/>
          <w:tab w:val="left" w:pos="1987"/>
          <w:tab w:val="right" w:pos="4950"/>
          <w:tab w:val="right" w:pos="6390"/>
          <w:tab w:val="right" w:pos="7830"/>
          <w:tab w:val="right" w:pos="9270"/>
        </w:tabs>
        <w:jc w:val="both"/>
        <w:rPr>
          <w:i/>
          <w:sz w:val="22"/>
          <w:szCs w:val="22"/>
          <w:highlight w:val="yellow"/>
        </w:rPr>
      </w:pPr>
      <w:r w:rsidRPr="00BD17F4">
        <w:rPr>
          <w:i/>
          <w:sz w:val="22"/>
          <w:szCs w:val="22"/>
          <w:highlight w:val="yellow"/>
        </w:rPr>
        <w:t>[Review GASB Codification 1300, Fund Accounting, paragraphs .104-</w:t>
      </w:r>
      <w:r w:rsidRPr="00102650">
        <w:rPr>
          <w:i/>
          <w:sz w:val="22"/>
          <w:szCs w:val="22"/>
          <w:highlight w:val="yellow"/>
        </w:rPr>
        <w:t>.11</w:t>
      </w:r>
      <w:r w:rsidR="005D701D" w:rsidRPr="00102650">
        <w:rPr>
          <w:i/>
          <w:sz w:val="22"/>
          <w:szCs w:val="22"/>
          <w:highlight w:val="yellow"/>
        </w:rPr>
        <w:t>6</w:t>
      </w:r>
      <w:r w:rsidR="00533678" w:rsidRPr="00102650">
        <w:rPr>
          <w:i/>
          <w:sz w:val="22"/>
          <w:szCs w:val="22"/>
          <w:highlight w:val="yellow"/>
        </w:rPr>
        <w:t>,</w:t>
      </w:r>
      <w:r w:rsidRPr="00102650">
        <w:rPr>
          <w:i/>
          <w:sz w:val="22"/>
          <w:szCs w:val="22"/>
          <w:highlight w:val="yellow"/>
        </w:rPr>
        <w:t xml:space="preserve"> </w:t>
      </w:r>
      <w:r w:rsidR="0050650A" w:rsidRPr="005D701D">
        <w:rPr>
          <w:i/>
          <w:sz w:val="22"/>
          <w:szCs w:val="22"/>
          <w:highlight w:val="yellow"/>
        </w:rPr>
        <w:t>and GASB 84 “Fiduciary Activities” for guidance</w:t>
      </w:r>
      <w:r w:rsidRPr="005D701D">
        <w:rPr>
          <w:i/>
          <w:sz w:val="22"/>
          <w:szCs w:val="22"/>
          <w:highlight w:val="yellow"/>
        </w:rPr>
        <w:t>.]</w:t>
      </w:r>
    </w:p>
    <w:p w14:paraId="36B0CDB2" w14:textId="77777777" w:rsidR="00501291" w:rsidRPr="00BD17F4" w:rsidRDefault="00501291" w:rsidP="00533678">
      <w:pPr>
        <w:widowControl/>
        <w:tabs>
          <w:tab w:val="left" w:pos="0"/>
          <w:tab w:val="left" w:pos="547"/>
          <w:tab w:val="left" w:pos="907"/>
          <w:tab w:val="left" w:pos="1440"/>
          <w:tab w:val="left" w:pos="1987"/>
          <w:tab w:val="right" w:pos="4950"/>
          <w:tab w:val="right" w:pos="6390"/>
          <w:tab w:val="right" w:pos="7830"/>
          <w:tab w:val="right" w:pos="9270"/>
        </w:tabs>
        <w:jc w:val="both"/>
        <w:rPr>
          <w:sz w:val="22"/>
          <w:szCs w:val="22"/>
        </w:rPr>
      </w:pPr>
    </w:p>
    <w:p w14:paraId="37CFF28B" w14:textId="77777777" w:rsidR="00B60E02" w:rsidRPr="00B60E02" w:rsidRDefault="00B60E02" w:rsidP="00533678">
      <w:pPr>
        <w:widowControl/>
        <w:autoSpaceDE/>
        <w:autoSpaceDN/>
        <w:adjustRightInd/>
        <w:jc w:val="both"/>
        <w:rPr>
          <w:i/>
          <w:sz w:val="22"/>
          <w:szCs w:val="22"/>
        </w:rPr>
      </w:pPr>
      <w:r w:rsidRPr="00B60E02">
        <w:rPr>
          <w:i/>
          <w:sz w:val="22"/>
          <w:szCs w:val="22"/>
          <w:highlight w:val="yellow"/>
        </w:rPr>
        <w:t>Edit this section of the notes for the financial statements that are included in your financial statements – delete any information that you are not presenting.</w:t>
      </w:r>
    </w:p>
    <w:p w14:paraId="3F987FE9" w14:textId="77777777" w:rsidR="00DC7139" w:rsidRPr="005374C3" w:rsidRDefault="00DC7139" w:rsidP="00533678">
      <w:pPr>
        <w:widowControl/>
        <w:jc w:val="both"/>
        <w:rPr>
          <w:sz w:val="22"/>
          <w:szCs w:val="22"/>
          <w:lang w:eastAsia="ja-JP"/>
        </w:rPr>
      </w:pPr>
    </w:p>
    <w:p w14:paraId="586FD713" w14:textId="77777777" w:rsidR="00DC7139" w:rsidRPr="005374C3" w:rsidRDefault="00DC7139" w:rsidP="00533678">
      <w:pPr>
        <w:widowControl/>
        <w:jc w:val="both"/>
        <w:rPr>
          <w:sz w:val="22"/>
          <w:szCs w:val="22"/>
          <w:lang w:eastAsia="ja-JP"/>
        </w:rPr>
      </w:pPr>
      <w:r w:rsidRPr="005374C3">
        <w:rPr>
          <w:sz w:val="22"/>
          <w:szCs w:val="22"/>
          <w:lang w:eastAsia="ja-JP"/>
        </w:rPr>
        <w:t xml:space="preserve">The </w:t>
      </w:r>
      <w:r w:rsidR="008B3E52" w:rsidRPr="005374C3">
        <w:rPr>
          <w:sz w:val="22"/>
          <w:szCs w:val="22"/>
          <w:lang w:eastAsia="ja-JP"/>
        </w:rPr>
        <w:t>Library</w:t>
      </w:r>
      <w:r w:rsidRPr="005374C3">
        <w:rPr>
          <w:sz w:val="22"/>
          <w:szCs w:val="22"/>
          <w:lang w:eastAsia="ja-JP"/>
        </w:rPr>
        <w:t xml:space="preserve"> uses funds to maintain its financial records during the year.  A fund is defined as a fiscal and accounting entity with a s</w:t>
      </w:r>
      <w:r w:rsidR="00522604" w:rsidRPr="005374C3">
        <w:rPr>
          <w:sz w:val="22"/>
          <w:szCs w:val="22"/>
          <w:lang w:eastAsia="ja-JP"/>
        </w:rPr>
        <w:t>elf</w:t>
      </w:r>
      <w:r w:rsidR="00680E4A">
        <w:rPr>
          <w:sz w:val="22"/>
          <w:szCs w:val="22"/>
          <w:lang w:eastAsia="ja-JP"/>
        </w:rPr>
        <w:t>-</w:t>
      </w:r>
      <w:r w:rsidR="00522604" w:rsidRPr="005374C3">
        <w:rPr>
          <w:sz w:val="22"/>
          <w:szCs w:val="22"/>
          <w:lang w:eastAsia="ja-JP"/>
        </w:rPr>
        <w:t xml:space="preserve">balancing set of accounts.  The Library’s funds are </w:t>
      </w:r>
      <w:r w:rsidR="00AB30CA" w:rsidRPr="005374C3">
        <w:rPr>
          <w:sz w:val="22"/>
          <w:szCs w:val="22"/>
          <w:lang w:eastAsia="ja-JP"/>
        </w:rPr>
        <w:t xml:space="preserve">all </w:t>
      </w:r>
      <w:r w:rsidR="00522604" w:rsidRPr="005374C3">
        <w:rPr>
          <w:sz w:val="22"/>
          <w:szCs w:val="22"/>
          <w:lang w:eastAsia="ja-JP"/>
        </w:rPr>
        <w:t>classified as governmental.</w:t>
      </w:r>
      <w:r w:rsidR="00BE1336" w:rsidRPr="005374C3">
        <w:rPr>
          <w:sz w:val="22"/>
          <w:szCs w:val="22"/>
          <w:lang w:eastAsia="ja-JP"/>
        </w:rPr>
        <w:t xml:space="preserve">  The Library’s funds are </w:t>
      </w:r>
      <w:r w:rsidR="009D535F" w:rsidRPr="005374C3">
        <w:rPr>
          <w:sz w:val="22"/>
          <w:szCs w:val="22"/>
          <w:lang w:eastAsia="ja-JP"/>
        </w:rPr>
        <w:t>divided into three categories, governmental, proprietary and fiduciary.</w:t>
      </w:r>
    </w:p>
    <w:p w14:paraId="559ACE0A" w14:textId="77777777" w:rsidR="003B14F6" w:rsidRPr="005374C3" w:rsidRDefault="003B14F6" w:rsidP="00533678">
      <w:pPr>
        <w:widowControl/>
        <w:jc w:val="both"/>
        <w:rPr>
          <w:sz w:val="22"/>
          <w:szCs w:val="22"/>
          <w:lang w:eastAsia="ja-JP"/>
        </w:rPr>
      </w:pPr>
    </w:p>
    <w:p w14:paraId="2EDF432E" w14:textId="3DD12DCB" w:rsidR="00B60E02" w:rsidRPr="00B60E02" w:rsidRDefault="003B14F6" w:rsidP="00533678">
      <w:pPr>
        <w:widowControl/>
        <w:jc w:val="both"/>
        <w:rPr>
          <w:sz w:val="22"/>
          <w:szCs w:val="22"/>
        </w:rPr>
      </w:pPr>
      <w:r w:rsidRPr="005374C3">
        <w:rPr>
          <w:b/>
          <w:i/>
          <w:sz w:val="22"/>
          <w:szCs w:val="22"/>
          <w:lang w:eastAsia="ja-JP"/>
        </w:rPr>
        <w:t>Governmental Funds</w:t>
      </w:r>
      <w:r w:rsidR="005374C3">
        <w:rPr>
          <w:b/>
          <w:i/>
          <w:sz w:val="22"/>
          <w:szCs w:val="22"/>
          <w:lang w:eastAsia="ja-JP"/>
        </w:rPr>
        <w:t xml:space="preserve"> </w:t>
      </w:r>
      <w:r w:rsidR="002B0FF6">
        <w:rPr>
          <w:b/>
          <w:i/>
          <w:sz w:val="22"/>
          <w:szCs w:val="22"/>
          <w:lang w:eastAsia="ja-JP"/>
        </w:rPr>
        <w:t xml:space="preserve"> </w:t>
      </w:r>
      <w:r w:rsidR="005374C3">
        <w:rPr>
          <w:b/>
          <w:i/>
          <w:sz w:val="22"/>
          <w:szCs w:val="22"/>
          <w:lang w:eastAsia="ja-JP"/>
        </w:rPr>
        <w:t xml:space="preserve"> </w:t>
      </w:r>
      <w:r w:rsidR="00B60E02" w:rsidRPr="00B60E02">
        <w:rPr>
          <w:sz w:val="22"/>
          <w:szCs w:val="22"/>
        </w:rPr>
        <w:t xml:space="preserve">Governmental funds are those through which most governmental functions of the </w:t>
      </w:r>
      <w:r w:rsidR="00C65D48">
        <w:rPr>
          <w:sz w:val="22"/>
          <w:szCs w:val="22"/>
        </w:rPr>
        <w:t>Library</w:t>
      </w:r>
      <w:r w:rsidR="00B60E02" w:rsidRPr="00B60E02">
        <w:rPr>
          <w:sz w:val="22"/>
          <w:szCs w:val="22"/>
        </w:rPr>
        <w:t xml:space="preserve"> are financed.  The following are the </w:t>
      </w:r>
      <w:r w:rsidR="00C65D48">
        <w:rPr>
          <w:sz w:val="22"/>
          <w:szCs w:val="22"/>
        </w:rPr>
        <w:t>Library</w:t>
      </w:r>
      <w:r w:rsidR="00B60E02" w:rsidRPr="00B60E02">
        <w:rPr>
          <w:sz w:val="22"/>
          <w:szCs w:val="22"/>
        </w:rPr>
        <w:t>’s major governmental funds</w:t>
      </w:r>
      <w:r w:rsidR="0050650A">
        <w:rPr>
          <w:sz w:val="22"/>
          <w:szCs w:val="22"/>
        </w:rPr>
        <w:t>:</w:t>
      </w:r>
      <w:r w:rsidR="00B60E02" w:rsidRPr="00B60E02">
        <w:rPr>
          <w:sz w:val="22"/>
          <w:szCs w:val="22"/>
        </w:rPr>
        <w:t xml:space="preserve"> </w:t>
      </w:r>
      <w:r w:rsidR="00B60E02" w:rsidRPr="00B60E02">
        <w:rPr>
          <w:sz w:val="22"/>
          <w:szCs w:val="22"/>
          <w:highlight w:val="yellow"/>
        </w:rPr>
        <w:t>(Each major governmental fund’s description should be specific to the fund and not a generic fund-type description</w:t>
      </w:r>
      <w:bookmarkStart w:id="0" w:name="OLE_LINK19"/>
      <w:bookmarkStart w:id="1" w:name="OLE_LINK20"/>
      <w:r w:rsidR="00B60E02" w:rsidRPr="00B60E02">
        <w:rPr>
          <w:sz w:val="22"/>
          <w:szCs w:val="22"/>
          <w:highlight w:val="yellow"/>
        </w:rPr>
        <w:t>.  Each major special revenue fund’s description should disclose the fund’s purpose and identify the revenue and other resources reported in the fund</w:t>
      </w:r>
      <w:bookmarkEnd w:id="0"/>
      <w:bookmarkEnd w:id="1"/>
      <w:r w:rsidR="0050650A">
        <w:rPr>
          <w:sz w:val="22"/>
          <w:szCs w:val="22"/>
          <w:highlight w:val="yellow"/>
        </w:rPr>
        <w:t>.)</w:t>
      </w:r>
      <w:r w:rsidR="00CB590F">
        <w:rPr>
          <w:sz w:val="22"/>
          <w:szCs w:val="22"/>
        </w:rPr>
        <w:t xml:space="preserve"> </w:t>
      </w:r>
      <w:r w:rsidR="00CB590F" w:rsidRPr="00E93F54">
        <w:rPr>
          <w:sz w:val="22"/>
          <w:szCs w:val="22"/>
          <w:highlight w:val="cyan"/>
        </w:rPr>
        <w:t>If a</w:t>
      </w:r>
      <w:r w:rsidR="00CB590F">
        <w:rPr>
          <w:sz w:val="22"/>
          <w:szCs w:val="22"/>
          <w:highlight w:val="cyan"/>
        </w:rPr>
        <w:t xml:space="preserve"> governmental</w:t>
      </w:r>
      <w:r w:rsidR="00CB590F" w:rsidRPr="00E93F54">
        <w:rPr>
          <w:sz w:val="22"/>
          <w:szCs w:val="22"/>
          <w:highlight w:val="cyan"/>
        </w:rPr>
        <w:t xml:space="preserve"> major fund was non major last year, consider modifying the description to identify this and explain the GASB 100 presentation on the </w:t>
      </w:r>
      <w:r w:rsidR="00CB590F">
        <w:rPr>
          <w:sz w:val="22"/>
          <w:szCs w:val="22"/>
          <w:highlight w:val="cyan"/>
        </w:rPr>
        <w:t xml:space="preserve">operating </w:t>
      </w:r>
      <w:r w:rsidR="00CB590F" w:rsidRPr="00E93F54">
        <w:rPr>
          <w:sz w:val="22"/>
          <w:szCs w:val="22"/>
          <w:highlight w:val="cyan"/>
        </w:rPr>
        <w:t>statement.)</w:t>
      </w:r>
    </w:p>
    <w:p w14:paraId="4621049E" w14:textId="77777777" w:rsidR="003B14F6" w:rsidRPr="005374C3" w:rsidRDefault="003B14F6" w:rsidP="00533678">
      <w:pPr>
        <w:widowControl/>
        <w:jc w:val="both"/>
        <w:rPr>
          <w:sz w:val="22"/>
          <w:szCs w:val="22"/>
          <w:u w:val="single"/>
          <w:lang w:eastAsia="ja-JP"/>
        </w:rPr>
      </w:pPr>
    </w:p>
    <w:p w14:paraId="7BBAF11E" w14:textId="77777777" w:rsidR="003B14F6" w:rsidRPr="005374C3" w:rsidRDefault="003B14F6" w:rsidP="00533678">
      <w:pPr>
        <w:widowControl/>
        <w:ind w:left="720"/>
        <w:jc w:val="both"/>
        <w:rPr>
          <w:sz w:val="22"/>
          <w:szCs w:val="22"/>
          <w:lang w:eastAsia="ja-JP"/>
        </w:rPr>
      </w:pPr>
      <w:r w:rsidRPr="005374C3">
        <w:rPr>
          <w:b/>
          <w:i/>
          <w:sz w:val="22"/>
          <w:szCs w:val="22"/>
          <w:lang w:eastAsia="ja-JP"/>
        </w:rPr>
        <w:t>General Fund</w:t>
      </w:r>
      <w:r w:rsidRPr="005374C3">
        <w:rPr>
          <w:sz w:val="22"/>
          <w:szCs w:val="22"/>
          <w:lang w:eastAsia="ja-JP"/>
        </w:rPr>
        <w:t xml:space="preserve"> </w:t>
      </w:r>
      <w:r w:rsidR="005374C3">
        <w:rPr>
          <w:sz w:val="22"/>
          <w:szCs w:val="22"/>
          <w:lang w:eastAsia="ja-JP"/>
        </w:rPr>
        <w:t xml:space="preserve"> </w:t>
      </w:r>
      <w:r w:rsidRPr="005374C3">
        <w:rPr>
          <w:sz w:val="22"/>
          <w:szCs w:val="22"/>
          <w:lang w:eastAsia="ja-JP"/>
        </w:rPr>
        <w:t xml:space="preserve"> </w:t>
      </w:r>
      <w:r w:rsidR="00680E4A" w:rsidRPr="00617537">
        <w:rPr>
          <w:sz w:val="22"/>
          <w:szCs w:val="22"/>
        </w:rPr>
        <w:t xml:space="preserve">The </w:t>
      </w:r>
      <w:r w:rsidR="00680E4A">
        <w:rPr>
          <w:sz w:val="22"/>
          <w:szCs w:val="22"/>
        </w:rPr>
        <w:t>g</w:t>
      </w:r>
      <w:r w:rsidR="00680E4A" w:rsidRPr="00617537">
        <w:rPr>
          <w:sz w:val="22"/>
          <w:szCs w:val="22"/>
        </w:rPr>
        <w:t xml:space="preserve">eneral </w:t>
      </w:r>
      <w:r w:rsidR="00680E4A">
        <w:rPr>
          <w:sz w:val="22"/>
          <w:szCs w:val="22"/>
        </w:rPr>
        <w:t>f</w:t>
      </w:r>
      <w:r w:rsidR="00680E4A" w:rsidRPr="00617537">
        <w:rPr>
          <w:sz w:val="22"/>
          <w:szCs w:val="22"/>
        </w:rPr>
        <w:t xml:space="preserve">und accounts for </w:t>
      </w:r>
      <w:r w:rsidR="00680E4A">
        <w:rPr>
          <w:sz w:val="22"/>
          <w:szCs w:val="22"/>
        </w:rPr>
        <w:t xml:space="preserve">and reports </w:t>
      </w:r>
      <w:r w:rsidR="00680E4A" w:rsidRPr="00617537">
        <w:rPr>
          <w:sz w:val="22"/>
          <w:szCs w:val="22"/>
        </w:rPr>
        <w:t>all financial resources</w:t>
      </w:r>
      <w:r w:rsidR="00680E4A">
        <w:rPr>
          <w:sz w:val="22"/>
          <w:szCs w:val="22"/>
        </w:rPr>
        <w:t xml:space="preserve"> not accounted for and reported in another fund.  </w:t>
      </w:r>
      <w:r w:rsidRPr="005374C3">
        <w:rPr>
          <w:sz w:val="22"/>
          <w:szCs w:val="22"/>
          <w:lang w:eastAsia="ja-JP"/>
        </w:rPr>
        <w:t>The general fund balance is available to the Library for any purpose provided it is expended or transferred according to the general laws of Ohio.</w:t>
      </w:r>
    </w:p>
    <w:p w14:paraId="4DC1164A" w14:textId="77777777" w:rsidR="003B14F6" w:rsidRPr="005374C3" w:rsidRDefault="003B14F6" w:rsidP="00533678">
      <w:pPr>
        <w:widowControl/>
        <w:jc w:val="both"/>
        <w:rPr>
          <w:sz w:val="22"/>
          <w:szCs w:val="22"/>
          <w:lang w:eastAsia="ja-JP"/>
        </w:rPr>
      </w:pPr>
      <w:r w:rsidRPr="005374C3">
        <w:rPr>
          <w:sz w:val="22"/>
          <w:szCs w:val="22"/>
          <w:lang w:eastAsia="ja-JP"/>
        </w:rPr>
        <w:tab/>
      </w:r>
    </w:p>
    <w:p w14:paraId="0381019C" w14:textId="77777777" w:rsidR="003B14F6" w:rsidRPr="005374C3" w:rsidRDefault="003B14F6" w:rsidP="00533678">
      <w:pPr>
        <w:widowControl/>
        <w:ind w:left="720"/>
        <w:jc w:val="both"/>
        <w:rPr>
          <w:sz w:val="22"/>
          <w:szCs w:val="22"/>
          <w:lang w:eastAsia="ja-JP"/>
        </w:rPr>
      </w:pPr>
      <w:r w:rsidRPr="00B60E02">
        <w:rPr>
          <w:b/>
          <w:i/>
          <w:sz w:val="22"/>
          <w:szCs w:val="22"/>
          <w:highlight w:val="green"/>
          <w:lang w:eastAsia="ja-JP"/>
        </w:rPr>
        <w:t>Building and Repair Fund</w:t>
      </w:r>
      <w:r w:rsidRPr="00B60E02">
        <w:rPr>
          <w:sz w:val="22"/>
          <w:szCs w:val="22"/>
          <w:highlight w:val="green"/>
          <w:lang w:eastAsia="ja-JP"/>
        </w:rPr>
        <w:t xml:space="preserve">  </w:t>
      </w:r>
      <w:r w:rsidR="002B0FF6" w:rsidRPr="00B60E02">
        <w:rPr>
          <w:sz w:val="22"/>
          <w:szCs w:val="22"/>
          <w:highlight w:val="green"/>
          <w:lang w:eastAsia="ja-JP"/>
        </w:rPr>
        <w:t xml:space="preserve"> </w:t>
      </w:r>
      <w:r w:rsidRPr="00B60E02">
        <w:rPr>
          <w:sz w:val="22"/>
          <w:szCs w:val="22"/>
          <w:highlight w:val="green"/>
          <w:lang w:eastAsia="ja-JP"/>
        </w:rPr>
        <w:t xml:space="preserve">The building and repair fund accounts for </w:t>
      </w:r>
      <w:r w:rsidR="00D9414E" w:rsidRPr="00B60E02">
        <w:rPr>
          <w:sz w:val="22"/>
          <w:szCs w:val="22"/>
          <w:highlight w:val="green"/>
          <w:lang w:eastAsia="ja-JP"/>
        </w:rPr>
        <w:t xml:space="preserve">and reports resources </w:t>
      </w:r>
      <w:r w:rsidR="00963367" w:rsidRPr="00B60E02">
        <w:rPr>
          <w:sz w:val="22"/>
          <w:szCs w:val="22"/>
          <w:highlight w:val="green"/>
          <w:lang w:eastAsia="ja-JP"/>
        </w:rPr>
        <w:t>committed</w:t>
      </w:r>
      <w:r w:rsidRPr="00B60E02">
        <w:rPr>
          <w:sz w:val="22"/>
          <w:szCs w:val="22"/>
          <w:highlight w:val="green"/>
          <w:lang w:eastAsia="ja-JP"/>
        </w:rPr>
        <w:t xml:space="preserve"> by the Board of Library Trustees specifically for major capital and technology improvements.</w:t>
      </w:r>
    </w:p>
    <w:p w14:paraId="0727604B" w14:textId="77777777" w:rsidR="003B14F6" w:rsidRPr="005374C3" w:rsidRDefault="003B14F6" w:rsidP="00533678">
      <w:pPr>
        <w:widowControl/>
        <w:jc w:val="both"/>
        <w:rPr>
          <w:sz w:val="22"/>
          <w:szCs w:val="22"/>
          <w:lang w:eastAsia="ja-JP"/>
        </w:rPr>
      </w:pPr>
    </w:p>
    <w:p w14:paraId="0CA5CD94" w14:textId="77777777" w:rsidR="005374C3" w:rsidRDefault="003B14F6" w:rsidP="00533678">
      <w:pPr>
        <w:widowControl/>
        <w:ind w:left="720"/>
        <w:jc w:val="both"/>
        <w:rPr>
          <w:sz w:val="22"/>
          <w:szCs w:val="22"/>
          <w:lang w:eastAsia="ja-JP"/>
        </w:rPr>
      </w:pPr>
      <w:r w:rsidRPr="00B60E02">
        <w:rPr>
          <w:b/>
          <w:i/>
          <w:sz w:val="22"/>
          <w:szCs w:val="22"/>
          <w:highlight w:val="green"/>
          <w:lang w:eastAsia="ja-JP"/>
        </w:rPr>
        <w:t>Renovation Fund</w:t>
      </w:r>
      <w:r w:rsidRPr="00B60E02">
        <w:rPr>
          <w:sz w:val="22"/>
          <w:szCs w:val="22"/>
          <w:highlight w:val="green"/>
          <w:lang w:eastAsia="ja-JP"/>
        </w:rPr>
        <w:t xml:space="preserve">  </w:t>
      </w:r>
      <w:r w:rsidR="005374C3" w:rsidRPr="00B60E02">
        <w:rPr>
          <w:sz w:val="22"/>
          <w:szCs w:val="22"/>
          <w:highlight w:val="green"/>
          <w:lang w:eastAsia="ja-JP"/>
        </w:rPr>
        <w:t xml:space="preserve"> </w:t>
      </w:r>
      <w:r w:rsidRPr="00B60E02">
        <w:rPr>
          <w:sz w:val="22"/>
          <w:szCs w:val="22"/>
          <w:highlight w:val="green"/>
          <w:lang w:eastAsia="ja-JP"/>
        </w:rPr>
        <w:t xml:space="preserve">The renovation fund accounts for </w:t>
      </w:r>
      <w:r w:rsidR="00D9414E" w:rsidRPr="00B60E02">
        <w:rPr>
          <w:sz w:val="22"/>
          <w:szCs w:val="22"/>
          <w:highlight w:val="green"/>
          <w:lang w:eastAsia="ja-JP"/>
        </w:rPr>
        <w:t xml:space="preserve">and reports restricted resources </w:t>
      </w:r>
      <w:r w:rsidR="006859E2" w:rsidRPr="00B60E02">
        <w:rPr>
          <w:sz w:val="22"/>
          <w:szCs w:val="22"/>
          <w:highlight w:val="green"/>
          <w:lang w:eastAsia="ja-JP"/>
        </w:rPr>
        <w:t xml:space="preserve">received from </w:t>
      </w:r>
      <w:r w:rsidR="00AA71C5" w:rsidRPr="00B60E02">
        <w:rPr>
          <w:sz w:val="22"/>
          <w:szCs w:val="22"/>
          <w:highlight w:val="green"/>
          <w:lang w:eastAsia="ja-JP"/>
        </w:rPr>
        <w:t>XYZ School</w:t>
      </w:r>
      <w:r w:rsidR="006859E2" w:rsidRPr="00B60E02">
        <w:rPr>
          <w:sz w:val="22"/>
          <w:szCs w:val="22"/>
          <w:highlight w:val="green"/>
          <w:lang w:eastAsia="ja-JP"/>
        </w:rPr>
        <w:t xml:space="preserve"> District from the sale of bonds.   </w:t>
      </w:r>
      <w:r w:rsidR="00AA71C5" w:rsidRPr="00B60E02">
        <w:rPr>
          <w:sz w:val="22"/>
          <w:szCs w:val="22"/>
          <w:highlight w:val="green"/>
          <w:lang w:eastAsia="ja-JP"/>
        </w:rPr>
        <w:t>XYZ School</w:t>
      </w:r>
      <w:r w:rsidR="006859E2" w:rsidRPr="00B60E02">
        <w:rPr>
          <w:sz w:val="22"/>
          <w:szCs w:val="22"/>
          <w:highlight w:val="green"/>
          <w:lang w:eastAsia="ja-JP"/>
        </w:rPr>
        <w:t xml:space="preserve"> District serves as the taxing authority and issues tax related debt on behalf of the Library, although their role is limited to a ministerial function.  After </w:t>
      </w:r>
      <w:r w:rsidR="00AA71C5" w:rsidRPr="00B60E02">
        <w:rPr>
          <w:sz w:val="22"/>
          <w:szCs w:val="22"/>
          <w:highlight w:val="green"/>
          <w:lang w:eastAsia="ja-JP"/>
        </w:rPr>
        <w:t>XYZ School</w:t>
      </w:r>
      <w:r w:rsidR="006859E2" w:rsidRPr="00B60E02">
        <w:rPr>
          <w:sz w:val="22"/>
          <w:szCs w:val="22"/>
          <w:highlight w:val="green"/>
          <w:lang w:eastAsia="ja-JP"/>
        </w:rPr>
        <w:t xml:space="preserve"> District issues the bonds, the proceeds are paid to the Library.  These monies are restricted by State Statute for the </w:t>
      </w:r>
      <w:r w:rsidRPr="00B60E02">
        <w:rPr>
          <w:sz w:val="22"/>
          <w:szCs w:val="22"/>
          <w:highlight w:val="green"/>
          <w:lang w:eastAsia="ja-JP"/>
        </w:rPr>
        <w:t>renovation of the Main Library.</w:t>
      </w:r>
    </w:p>
    <w:p w14:paraId="4FCC604F" w14:textId="77777777" w:rsidR="005374C3" w:rsidRDefault="005374C3" w:rsidP="00533678">
      <w:pPr>
        <w:widowControl/>
        <w:jc w:val="both"/>
        <w:rPr>
          <w:sz w:val="22"/>
          <w:szCs w:val="22"/>
          <w:lang w:eastAsia="ja-JP"/>
        </w:rPr>
      </w:pPr>
    </w:p>
    <w:p w14:paraId="6E97A3B8" w14:textId="2BD6917E" w:rsidR="00680E4A" w:rsidRDefault="00680E4A" w:rsidP="00533678">
      <w:pPr>
        <w:widowControl/>
        <w:jc w:val="both"/>
        <w:rPr>
          <w:sz w:val="22"/>
          <w:szCs w:val="22"/>
          <w:lang w:eastAsia="ja-JP"/>
        </w:rPr>
      </w:pPr>
      <w:r w:rsidRPr="00B60E02">
        <w:rPr>
          <w:sz w:val="22"/>
          <w:szCs w:val="22"/>
          <w:highlight w:val="green"/>
          <w:lang w:eastAsia="ja-JP"/>
        </w:rPr>
        <w:t xml:space="preserve">The other governmental funds of the Library account for </w:t>
      </w:r>
      <w:r w:rsidR="00394893" w:rsidRPr="00B60E02">
        <w:rPr>
          <w:sz w:val="22"/>
          <w:szCs w:val="22"/>
          <w:highlight w:val="green"/>
          <w:lang w:eastAsia="ja-JP"/>
        </w:rPr>
        <w:t xml:space="preserve">and report </w:t>
      </w:r>
      <w:r w:rsidRPr="00B60E02">
        <w:rPr>
          <w:sz w:val="22"/>
          <w:szCs w:val="22"/>
          <w:highlight w:val="green"/>
          <w:lang w:eastAsia="ja-JP"/>
        </w:rPr>
        <w:t xml:space="preserve">grants and other resources whose use is restricted, </w:t>
      </w:r>
      <w:r w:rsidR="000B7AB8" w:rsidRPr="00B60E02">
        <w:rPr>
          <w:sz w:val="22"/>
          <w:szCs w:val="22"/>
          <w:highlight w:val="green"/>
          <w:lang w:eastAsia="ja-JP"/>
        </w:rPr>
        <w:t>committed,</w:t>
      </w:r>
      <w:r w:rsidRPr="00B60E02">
        <w:rPr>
          <w:sz w:val="22"/>
          <w:szCs w:val="22"/>
          <w:highlight w:val="green"/>
          <w:lang w:eastAsia="ja-JP"/>
        </w:rPr>
        <w:t xml:space="preserve"> or assigned to a particular purpose.</w:t>
      </w:r>
      <w:r w:rsidRPr="002F02C2">
        <w:rPr>
          <w:sz w:val="22"/>
          <w:szCs w:val="22"/>
          <w:lang w:eastAsia="ja-JP"/>
        </w:rPr>
        <w:t xml:space="preserve"> </w:t>
      </w:r>
    </w:p>
    <w:p w14:paraId="1D984251" w14:textId="77777777" w:rsidR="00AF344D" w:rsidRDefault="00AF344D" w:rsidP="00533678">
      <w:pPr>
        <w:widowControl/>
        <w:jc w:val="both"/>
        <w:rPr>
          <w:sz w:val="22"/>
          <w:szCs w:val="22"/>
          <w:lang w:eastAsia="ja-JP"/>
        </w:rPr>
      </w:pPr>
    </w:p>
    <w:p w14:paraId="09249E3A" w14:textId="5CD6D509" w:rsidR="00AF344D" w:rsidRPr="002F02C2" w:rsidRDefault="00AF344D" w:rsidP="00533678">
      <w:pPr>
        <w:widowControl/>
        <w:jc w:val="both"/>
        <w:rPr>
          <w:sz w:val="22"/>
          <w:szCs w:val="22"/>
          <w:lang w:eastAsia="ja-JP"/>
        </w:rPr>
      </w:pPr>
      <w:r w:rsidRPr="00BD4D37">
        <w:rPr>
          <w:sz w:val="22"/>
          <w:szCs w:val="22"/>
          <w:highlight w:val="yellow"/>
        </w:rPr>
        <w:t xml:space="preserve">The following is instructional.  </w:t>
      </w:r>
      <w:r w:rsidRPr="00E93F54">
        <w:rPr>
          <w:sz w:val="22"/>
          <w:szCs w:val="22"/>
          <w:highlight w:val="cyan"/>
        </w:rPr>
        <w:t xml:space="preserve">If a </w:t>
      </w:r>
      <w:r>
        <w:rPr>
          <w:sz w:val="22"/>
          <w:szCs w:val="22"/>
          <w:highlight w:val="cyan"/>
        </w:rPr>
        <w:t xml:space="preserve">governmental </w:t>
      </w:r>
      <w:r w:rsidRPr="00E93F54">
        <w:rPr>
          <w:sz w:val="22"/>
          <w:szCs w:val="22"/>
          <w:highlight w:val="cyan"/>
        </w:rPr>
        <w:t xml:space="preserve">fund was major last year and nonmajor this </w:t>
      </w:r>
      <w:r>
        <w:rPr>
          <w:sz w:val="22"/>
          <w:szCs w:val="22"/>
          <w:highlight w:val="cyan"/>
        </w:rPr>
        <w:t xml:space="preserve">year, </w:t>
      </w:r>
      <w:r w:rsidRPr="00E93F54">
        <w:rPr>
          <w:sz w:val="22"/>
          <w:szCs w:val="22"/>
          <w:highlight w:val="cyan"/>
        </w:rPr>
        <w:t xml:space="preserve">consider incorporating a description here to explain the GASB 100 presentation on the </w:t>
      </w:r>
      <w:r>
        <w:rPr>
          <w:sz w:val="22"/>
          <w:szCs w:val="22"/>
          <w:highlight w:val="cyan"/>
        </w:rPr>
        <w:t xml:space="preserve">operating </w:t>
      </w:r>
      <w:r w:rsidRPr="00E93F54">
        <w:rPr>
          <w:sz w:val="22"/>
          <w:szCs w:val="22"/>
          <w:highlight w:val="cyan"/>
        </w:rPr>
        <w:t>statement.</w:t>
      </w:r>
    </w:p>
    <w:p w14:paraId="4A70AEB2" w14:textId="77777777" w:rsidR="00680E4A" w:rsidRDefault="00680E4A" w:rsidP="00533678">
      <w:pPr>
        <w:widowControl/>
        <w:rPr>
          <w:b/>
          <w:i/>
          <w:sz w:val="22"/>
          <w:szCs w:val="22"/>
        </w:rPr>
      </w:pPr>
    </w:p>
    <w:p w14:paraId="5FEACF62" w14:textId="77777777" w:rsidR="003B3AB9" w:rsidRPr="0050650A" w:rsidRDefault="003B3AB9" w:rsidP="00533678">
      <w:pPr>
        <w:widowControl/>
        <w:rPr>
          <w:sz w:val="22"/>
          <w:szCs w:val="22"/>
          <w:highlight w:val="green"/>
        </w:rPr>
      </w:pPr>
      <w:r w:rsidRPr="0050650A">
        <w:rPr>
          <w:b/>
          <w:i/>
          <w:sz w:val="22"/>
          <w:szCs w:val="22"/>
          <w:highlight w:val="green"/>
        </w:rPr>
        <w:t>Proprietary Funds</w:t>
      </w:r>
      <w:r w:rsidR="005374C3" w:rsidRPr="0050650A">
        <w:rPr>
          <w:b/>
          <w:i/>
          <w:sz w:val="22"/>
          <w:szCs w:val="22"/>
          <w:highlight w:val="green"/>
        </w:rPr>
        <w:t xml:space="preserve">   </w:t>
      </w:r>
      <w:r w:rsidRPr="0050650A">
        <w:rPr>
          <w:sz w:val="22"/>
          <w:szCs w:val="22"/>
          <w:highlight w:val="green"/>
        </w:rPr>
        <w:t>The Library classifies funds financed primarily from user charges for goods or services as proprietary.  Proprietary funds are classified as either enterprise or internal service.</w:t>
      </w:r>
    </w:p>
    <w:p w14:paraId="4E22D1F2" w14:textId="77777777" w:rsidR="003B3AB9" w:rsidRPr="0050650A" w:rsidRDefault="003B3AB9" w:rsidP="00533678">
      <w:pPr>
        <w:widowControl/>
        <w:jc w:val="both"/>
        <w:rPr>
          <w:sz w:val="22"/>
          <w:szCs w:val="22"/>
          <w:highlight w:val="green"/>
        </w:rPr>
      </w:pPr>
    </w:p>
    <w:p w14:paraId="28DD079C" w14:textId="77777777" w:rsidR="003B3AB9" w:rsidRDefault="003B3AB9" w:rsidP="00533678">
      <w:pPr>
        <w:widowControl/>
        <w:ind w:left="702"/>
        <w:jc w:val="both"/>
        <w:rPr>
          <w:sz w:val="22"/>
          <w:szCs w:val="22"/>
        </w:rPr>
      </w:pPr>
      <w:r w:rsidRPr="0050650A">
        <w:rPr>
          <w:b/>
          <w:i/>
          <w:sz w:val="22"/>
          <w:szCs w:val="22"/>
          <w:highlight w:val="green"/>
        </w:rPr>
        <w:tab/>
        <w:t>Enterprise Funds</w:t>
      </w:r>
      <w:r w:rsidR="005374C3" w:rsidRPr="0050650A">
        <w:rPr>
          <w:sz w:val="22"/>
          <w:szCs w:val="22"/>
          <w:highlight w:val="green"/>
        </w:rPr>
        <w:t xml:space="preserve"> </w:t>
      </w:r>
      <w:r w:rsidRPr="0050650A">
        <w:rPr>
          <w:sz w:val="22"/>
          <w:szCs w:val="22"/>
          <w:highlight w:val="green"/>
        </w:rPr>
        <w:t xml:space="preserve"> Enterprise funds may be used to account for any activity for which a fee is charged to external users for goods or services.  The</w:t>
      </w:r>
      <w:r w:rsidR="0050650A" w:rsidRPr="0050650A">
        <w:rPr>
          <w:sz w:val="22"/>
          <w:szCs w:val="22"/>
          <w:highlight w:val="green"/>
        </w:rPr>
        <w:t xml:space="preserve"> following are the</w:t>
      </w:r>
      <w:r w:rsidRPr="0050650A">
        <w:rPr>
          <w:sz w:val="22"/>
          <w:szCs w:val="22"/>
          <w:highlight w:val="green"/>
        </w:rPr>
        <w:t xml:space="preserve"> L</w:t>
      </w:r>
      <w:r w:rsidR="0050650A" w:rsidRPr="0050650A">
        <w:rPr>
          <w:sz w:val="22"/>
          <w:szCs w:val="22"/>
          <w:highlight w:val="green"/>
        </w:rPr>
        <w:t>ibrary’s major enterprise funds</w:t>
      </w:r>
      <w:r w:rsidRPr="0050650A">
        <w:rPr>
          <w:sz w:val="22"/>
          <w:szCs w:val="22"/>
          <w:highlight w:val="green"/>
        </w:rPr>
        <w:t>:</w:t>
      </w:r>
    </w:p>
    <w:p w14:paraId="4FC41C00" w14:textId="77777777" w:rsidR="003B3AB9" w:rsidRDefault="004B7D9A" w:rsidP="00533678">
      <w:pPr>
        <w:widowControl/>
        <w:ind w:left="1404"/>
        <w:jc w:val="both"/>
        <w:rPr>
          <w:i/>
          <w:sz w:val="22"/>
          <w:szCs w:val="22"/>
        </w:rPr>
      </w:pPr>
      <w:r w:rsidRPr="00B60E02">
        <w:rPr>
          <w:i/>
          <w:sz w:val="22"/>
          <w:szCs w:val="22"/>
          <w:highlight w:val="yellow"/>
        </w:rPr>
        <w:lastRenderedPageBreak/>
        <w:t>(Describe each major enterprise fund.  The description should be specific to the fund and not a generic fund type description.)</w:t>
      </w:r>
    </w:p>
    <w:p w14:paraId="317310DB" w14:textId="77777777" w:rsidR="003121BB" w:rsidRDefault="003121BB" w:rsidP="00533678">
      <w:pPr>
        <w:widowControl/>
        <w:ind w:left="702"/>
        <w:jc w:val="both"/>
        <w:rPr>
          <w:b/>
          <w:i/>
          <w:sz w:val="22"/>
          <w:szCs w:val="22"/>
          <w:highlight w:val="green"/>
        </w:rPr>
      </w:pPr>
    </w:p>
    <w:p w14:paraId="265A67C5" w14:textId="77777777" w:rsidR="003B3AB9" w:rsidRPr="005374C3" w:rsidRDefault="003B3AB9" w:rsidP="00533678">
      <w:pPr>
        <w:widowControl/>
        <w:ind w:left="702"/>
        <w:jc w:val="both"/>
        <w:rPr>
          <w:sz w:val="22"/>
          <w:szCs w:val="22"/>
        </w:rPr>
      </w:pPr>
      <w:r w:rsidRPr="00B60E02">
        <w:rPr>
          <w:b/>
          <w:i/>
          <w:sz w:val="22"/>
          <w:szCs w:val="22"/>
          <w:highlight w:val="green"/>
        </w:rPr>
        <w:t>Internal Service Fund</w:t>
      </w:r>
      <w:r w:rsidRPr="00B60E02">
        <w:rPr>
          <w:sz w:val="22"/>
          <w:szCs w:val="22"/>
          <w:highlight w:val="green"/>
        </w:rPr>
        <w:t xml:space="preserve"> </w:t>
      </w:r>
      <w:r w:rsidR="005374C3" w:rsidRPr="00B60E02">
        <w:rPr>
          <w:sz w:val="22"/>
          <w:szCs w:val="22"/>
          <w:highlight w:val="green"/>
        </w:rPr>
        <w:t xml:space="preserve"> </w:t>
      </w:r>
      <w:r w:rsidRPr="00B60E02">
        <w:rPr>
          <w:sz w:val="22"/>
          <w:szCs w:val="22"/>
          <w:highlight w:val="green"/>
        </w:rPr>
        <w:t xml:space="preserve">Internal service funds account for services provided by one </w:t>
      </w:r>
      <w:r w:rsidR="004B7D9A" w:rsidRPr="00B60E02">
        <w:rPr>
          <w:sz w:val="22"/>
          <w:szCs w:val="22"/>
          <w:highlight w:val="green"/>
        </w:rPr>
        <w:t>section</w:t>
      </w:r>
      <w:r w:rsidRPr="00B60E02">
        <w:rPr>
          <w:sz w:val="22"/>
          <w:szCs w:val="22"/>
          <w:highlight w:val="green"/>
        </w:rPr>
        <w:t xml:space="preserve"> of the </w:t>
      </w:r>
      <w:r w:rsidR="004B7D9A" w:rsidRPr="00B60E02">
        <w:rPr>
          <w:sz w:val="22"/>
          <w:szCs w:val="22"/>
          <w:highlight w:val="green"/>
        </w:rPr>
        <w:t>Library</w:t>
      </w:r>
      <w:r w:rsidRPr="00B60E02">
        <w:rPr>
          <w:sz w:val="22"/>
          <w:szCs w:val="22"/>
          <w:highlight w:val="green"/>
        </w:rPr>
        <w:t xml:space="preserve"> to another on a cost-reimbursement basis.  The </w:t>
      </w:r>
      <w:r w:rsidR="004B7D9A" w:rsidRPr="00B60E02">
        <w:rPr>
          <w:sz w:val="22"/>
          <w:szCs w:val="22"/>
          <w:highlight w:val="green"/>
        </w:rPr>
        <w:t>Library</w:t>
      </w:r>
      <w:r w:rsidRPr="00B60E02">
        <w:rPr>
          <w:sz w:val="22"/>
          <w:szCs w:val="22"/>
          <w:highlight w:val="green"/>
        </w:rPr>
        <w:t>’s internal service fund accounts for a self-insurance program for employee health, vision, prescription drug and dental benefits.</w:t>
      </w:r>
    </w:p>
    <w:p w14:paraId="754BAB9B" w14:textId="77777777" w:rsidR="004B7D9A" w:rsidRPr="005374C3" w:rsidRDefault="004B7D9A" w:rsidP="00533678">
      <w:pPr>
        <w:widowControl/>
        <w:jc w:val="both"/>
        <w:rPr>
          <w:sz w:val="22"/>
          <w:szCs w:val="22"/>
          <w:u w:val="single"/>
        </w:rPr>
      </w:pPr>
    </w:p>
    <w:p w14:paraId="73035E9A" w14:textId="6E00EAE2" w:rsidR="003B3AB9" w:rsidRPr="005374C3" w:rsidRDefault="003B3AB9" w:rsidP="00533678">
      <w:pPr>
        <w:widowControl/>
        <w:jc w:val="both"/>
        <w:rPr>
          <w:sz w:val="22"/>
          <w:szCs w:val="22"/>
        </w:rPr>
      </w:pPr>
      <w:r w:rsidRPr="0050650A">
        <w:rPr>
          <w:b/>
          <w:i/>
          <w:sz w:val="22"/>
          <w:szCs w:val="22"/>
          <w:highlight w:val="green"/>
        </w:rPr>
        <w:t>Fiduciary Funds</w:t>
      </w:r>
      <w:r w:rsidR="005374C3" w:rsidRPr="0050650A">
        <w:rPr>
          <w:b/>
          <w:i/>
          <w:sz w:val="22"/>
          <w:szCs w:val="22"/>
          <w:highlight w:val="green"/>
        </w:rPr>
        <w:t xml:space="preserve"> </w:t>
      </w:r>
      <w:r w:rsidR="002B0FF6" w:rsidRPr="0050650A">
        <w:rPr>
          <w:b/>
          <w:i/>
          <w:sz w:val="22"/>
          <w:szCs w:val="22"/>
          <w:highlight w:val="green"/>
        </w:rPr>
        <w:t xml:space="preserve"> </w:t>
      </w:r>
      <w:r w:rsidR="005374C3" w:rsidRPr="0050650A">
        <w:rPr>
          <w:b/>
          <w:i/>
          <w:sz w:val="22"/>
          <w:szCs w:val="22"/>
          <w:highlight w:val="green"/>
        </w:rPr>
        <w:t xml:space="preserve"> </w:t>
      </w:r>
      <w:r w:rsidR="00B60E02" w:rsidRPr="0050650A">
        <w:rPr>
          <w:sz w:val="22"/>
          <w:szCs w:val="22"/>
          <w:highlight w:val="green"/>
        </w:rPr>
        <w:t xml:space="preserve">Fiduciary </w:t>
      </w:r>
      <w:r w:rsidR="00B60E02" w:rsidRPr="00D930DB">
        <w:rPr>
          <w:sz w:val="22"/>
          <w:szCs w:val="22"/>
          <w:highlight w:val="green"/>
        </w:rPr>
        <w:t>fund reporting focuses on net position and changes in net position.  The fiduciary fund category is split into four classifications:  pension trust funds, investment trust funds, private purpose trust funds, and</w:t>
      </w:r>
      <w:r w:rsidR="00B60E02" w:rsidRPr="005D701D">
        <w:rPr>
          <w:sz w:val="22"/>
          <w:szCs w:val="22"/>
          <w:highlight w:val="green"/>
        </w:rPr>
        <w:t xml:space="preserve"> </w:t>
      </w:r>
      <w:r w:rsidR="0050650A" w:rsidRPr="005D701D">
        <w:rPr>
          <w:sz w:val="22"/>
          <w:szCs w:val="22"/>
          <w:highlight w:val="green"/>
        </w:rPr>
        <w:t>custodial</w:t>
      </w:r>
      <w:r w:rsidR="00B60E02" w:rsidRPr="005D701D">
        <w:rPr>
          <w:sz w:val="22"/>
          <w:szCs w:val="22"/>
          <w:highlight w:val="green"/>
        </w:rPr>
        <w:t xml:space="preserve"> funds.  </w:t>
      </w:r>
      <w:r w:rsidRPr="005D701D">
        <w:rPr>
          <w:sz w:val="22"/>
          <w:szCs w:val="22"/>
          <w:highlight w:val="green"/>
        </w:rPr>
        <w:t xml:space="preserve">Trust funds are used to account for assets held </w:t>
      </w:r>
      <w:r w:rsidR="0050650A" w:rsidRPr="005D701D">
        <w:rPr>
          <w:sz w:val="22"/>
          <w:szCs w:val="22"/>
          <w:highlight w:val="green"/>
        </w:rPr>
        <w:t xml:space="preserve">by the Library </w:t>
      </w:r>
      <w:r w:rsidRPr="005D701D">
        <w:rPr>
          <w:sz w:val="22"/>
          <w:szCs w:val="22"/>
          <w:highlight w:val="green"/>
        </w:rPr>
        <w:t>under a trust agreement</w:t>
      </w:r>
      <w:r w:rsidR="0050650A" w:rsidRPr="005D701D">
        <w:rPr>
          <w:sz w:val="22"/>
          <w:szCs w:val="22"/>
          <w:highlight w:val="green"/>
        </w:rPr>
        <w:t>, or equivalent arrangement that has certain characteristics,</w:t>
      </w:r>
      <w:r w:rsidRPr="005D701D">
        <w:rPr>
          <w:sz w:val="22"/>
          <w:szCs w:val="22"/>
          <w:highlight w:val="green"/>
        </w:rPr>
        <w:t xml:space="preserve"> for individuals, private orga</w:t>
      </w:r>
      <w:r w:rsidR="0050650A" w:rsidRPr="005D701D">
        <w:rPr>
          <w:sz w:val="22"/>
          <w:szCs w:val="22"/>
          <w:highlight w:val="green"/>
        </w:rPr>
        <w:t xml:space="preserve">nizations, or other </w:t>
      </w:r>
      <w:r w:rsidR="0050650A">
        <w:rPr>
          <w:sz w:val="22"/>
          <w:szCs w:val="22"/>
          <w:highlight w:val="green"/>
        </w:rPr>
        <w:t xml:space="preserve">governments and </w:t>
      </w:r>
      <w:r w:rsidRPr="00B60E02">
        <w:rPr>
          <w:sz w:val="22"/>
          <w:szCs w:val="22"/>
          <w:highlight w:val="green"/>
        </w:rPr>
        <w:t xml:space="preserve">are not available to support the </w:t>
      </w:r>
      <w:r w:rsidR="004B7D9A" w:rsidRPr="00B60E02">
        <w:rPr>
          <w:sz w:val="22"/>
          <w:szCs w:val="22"/>
          <w:highlight w:val="green"/>
        </w:rPr>
        <w:t>Library</w:t>
      </w:r>
      <w:r w:rsidRPr="00B60E02">
        <w:rPr>
          <w:sz w:val="22"/>
          <w:szCs w:val="22"/>
          <w:highlight w:val="green"/>
        </w:rPr>
        <w:t xml:space="preserve">’s own programs.  The </w:t>
      </w:r>
      <w:r w:rsidR="004B7D9A" w:rsidRPr="00B60E02">
        <w:rPr>
          <w:sz w:val="22"/>
          <w:szCs w:val="22"/>
          <w:highlight w:val="green"/>
        </w:rPr>
        <w:t>Library</w:t>
      </w:r>
      <w:r w:rsidRPr="00B60E02">
        <w:rPr>
          <w:sz w:val="22"/>
          <w:szCs w:val="22"/>
          <w:highlight w:val="green"/>
        </w:rPr>
        <w:t>’s private purpose trust fund accounts for programs that</w:t>
      </w:r>
      <w:r w:rsidRPr="005374C3">
        <w:rPr>
          <w:sz w:val="22"/>
          <w:szCs w:val="22"/>
        </w:rPr>
        <w:t xml:space="preserve"> </w:t>
      </w:r>
      <w:r w:rsidR="00931727" w:rsidRPr="00B60E02">
        <w:rPr>
          <w:sz w:val="22"/>
          <w:szCs w:val="22"/>
          <w:highlight w:val="yellow"/>
        </w:rPr>
        <w:t>(</w:t>
      </w:r>
      <w:r w:rsidR="00144090" w:rsidRPr="00144090">
        <w:rPr>
          <w:i/>
          <w:iCs/>
          <w:sz w:val="22"/>
          <w:szCs w:val="22"/>
          <w:highlight w:val="yellow"/>
        </w:rPr>
        <w:t xml:space="preserve">Or </w:t>
      </w:r>
      <w:r w:rsidRPr="00B60E02">
        <w:rPr>
          <w:i/>
          <w:sz w:val="22"/>
          <w:szCs w:val="22"/>
          <w:highlight w:val="yellow"/>
        </w:rPr>
        <w:t>describe nature of trust funds here</w:t>
      </w:r>
      <w:r w:rsidR="00931727" w:rsidRPr="00B60E02">
        <w:rPr>
          <w:i/>
          <w:sz w:val="22"/>
          <w:szCs w:val="22"/>
          <w:highlight w:val="yellow"/>
        </w:rPr>
        <w:t>)</w:t>
      </w:r>
      <w:r w:rsidRPr="005374C3">
        <w:rPr>
          <w:sz w:val="22"/>
          <w:szCs w:val="22"/>
        </w:rPr>
        <w:t xml:space="preserve">.  </w:t>
      </w:r>
      <w:r w:rsidR="0050650A" w:rsidRPr="005D701D">
        <w:rPr>
          <w:sz w:val="22"/>
          <w:szCs w:val="22"/>
          <w:highlight w:val="green"/>
        </w:rPr>
        <w:t xml:space="preserve">Custodial funds are used to report fiduciary activities that are not required to be reported in a trust fund.  The Library’s custodial funds account </w:t>
      </w:r>
      <w:r w:rsidR="00B60E02" w:rsidRPr="005D701D">
        <w:rPr>
          <w:sz w:val="22"/>
          <w:szCs w:val="22"/>
          <w:highlight w:val="green"/>
        </w:rPr>
        <w:t xml:space="preserve">for </w:t>
      </w:r>
      <w:r w:rsidR="0050650A" w:rsidRPr="005D701D">
        <w:rPr>
          <w:sz w:val="22"/>
          <w:szCs w:val="22"/>
          <w:highlight w:val="green"/>
        </w:rPr>
        <w:t xml:space="preserve">amounts collected and distributed on behalf of another government or organization </w:t>
      </w:r>
      <w:r w:rsidR="0050650A" w:rsidRPr="0050650A">
        <w:rPr>
          <w:sz w:val="22"/>
          <w:szCs w:val="22"/>
          <w:highlight w:val="yellow"/>
        </w:rPr>
        <w:t>(modify to describe the nature of</w:t>
      </w:r>
      <w:r w:rsidR="0050650A" w:rsidRPr="005D701D">
        <w:rPr>
          <w:sz w:val="22"/>
          <w:szCs w:val="22"/>
          <w:highlight w:val="yellow"/>
        </w:rPr>
        <w:t xml:space="preserve"> custodial f</w:t>
      </w:r>
      <w:r w:rsidR="0050650A" w:rsidRPr="0050650A">
        <w:rPr>
          <w:sz w:val="22"/>
          <w:szCs w:val="22"/>
          <w:highlight w:val="yellow"/>
        </w:rPr>
        <w:t>unds)</w:t>
      </w:r>
      <w:r w:rsidRPr="0050650A">
        <w:rPr>
          <w:sz w:val="22"/>
          <w:szCs w:val="22"/>
        </w:rPr>
        <w:t>.</w:t>
      </w:r>
    </w:p>
    <w:p w14:paraId="63513F8A" w14:textId="77777777" w:rsidR="003B14F6" w:rsidRDefault="003B14F6" w:rsidP="00533678">
      <w:pPr>
        <w:widowControl/>
        <w:jc w:val="both"/>
        <w:rPr>
          <w:sz w:val="22"/>
          <w:szCs w:val="22"/>
          <w:lang w:eastAsia="ja-JP"/>
        </w:rPr>
      </w:pPr>
    </w:p>
    <w:p w14:paraId="3EFF8C3E" w14:textId="1A778574" w:rsidR="00B60E02" w:rsidRPr="00B60E02" w:rsidRDefault="00B60E02" w:rsidP="00533678">
      <w:pPr>
        <w:widowControl/>
        <w:autoSpaceDE/>
        <w:autoSpaceDN/>
        <w:adjustRightInd/>
        <w:jc w:val="both"/>
        <w:rPr>
          <w:b/>
          <w:bCs/>
          <w:color w:val="000080"/>
          <w:sz w:val="22"/>
          <w:szCs w:val="22"/>
        </w:rPr>
      </w:pPr>
      <w:r w:rsidRPr="00B60E02">
        <w:rPr>
          <w:color w:val="000080"/>
          <w:sz w:val="22"/>
          <w:szCs w:val="22"/>
          <w:highlight w:val="yellow"/>
        </w:rPr>
        <w:t xml:space="preserve">(Note:  classifying private purpose funds requires judgment.  If the intent generally benefits the </w:t>
      </w:r>
      <w:r>
        <w:rPr>
          <w:color w:val="000080"/>
          <w:sz w:val="22"/>
          <w:szCs w:val="22"/>
          <w:highlight w:val="yellow"/>
        </w:rPr>
        <w:t>Library</w:t>
      </w:r>
      <w:r w:rsidRPr="00B60E02">
        <w:rPr>
          <w:color w:val="000080"/>
          <w:sz w:val="22"/>
          <w:szCs w:val="22"/>
          <w:highlight w:val="yellow"/>
        </w:rPr>
        <w:t xml:space="preserve">’s own programs, permanent or special revenue fund classification is appropriate.  However, if the intent is to benefit a specific individual, private organization, or another government which is not available to support the </w:t>
      </w:r>
      <w:r>
        <w:rPr>
          <w:color w:val="000080"/>
          <w:sz w:val="22"/>
          <w:szCs w:val="22"/>
          <w:highlight w:val="yellow"/>
        </w:rPr>
        <w:t>Library</w:t>
      </w:r>
      <w:r w:rsidRPr="00B60E02">
        <w:rPr>
          <w:color w:val="000080"/>
          <w:sz w:val="22"/>
          <w:szCs w:val="22"/>
          <w:highlight w:val="yellow"/>
        </w:rPr>
        <w:t>’s own prog</w:t>
      </w:r>
      <w:r w:rsidRPr="002D37B4">
        <w:rPr>
          <w:color w:val="000080"/>
          <w:sz w:val="22"/>
          <w:szCs w:val="22"/>
          <w:highlight w:val="yellow"/>
        </w:rPr>
        <w:t xml:space="preserve">rams, private purpose trust fund classification </w:t>
      </w:r>
      <w:r w:rsidR="00144090" w:rsidRPr="002D37B4">
        <w:rPr>
          <w:color w:val="000080"/>
          <w:sz w:val="22"/>
          <w:szCs w:val="22"/>
          <w:highlight w:val="yellow"/>
        </w:rPr>
        <w:t>may be</w:t>
      </w:r>
      <w:r w:rsidRPr="002D37B4">
        <w:rPr>
          <w:color w:val="000080"/>
          <w:sz w:val="22"/>
          <w:szCs w:val="22"/>
          <w:highlight w:val="yellow"/>
        </w:rPr>
        <w:t xml:space="preserve"> more appropriate </w:t>
      </w:r>
      <w:r w:rsidR="00144090" w:rsidRPr="002D37B4">
        <w:rPr>
          <w:color w:val="000080"/>
          <w:sz w:val="22"/>
          <w:szCs w:val="22"/>
          <w:highlight w:val="yellow"/>
        </w:rPr>
        <w:t>provided the fund meets the GSB 84 fund definition described below</w:t>
      </w:r>
      <w:r w:rsidR="0050650A" w:rsidRPr="002D37B4">
        <w:rPr>
          <w:color w:val="000080"/>
          <w:sz w:val="22"/>
          <w:szCs w:val="22"/>
          <w:highlight w:val="yellow"/>
        </w:rPr>
        <w:t>.</w:t>
      </w:r>
      <w:r w:rsidRPr="002D37B4">
        <w:rPr>
          <w:color w:val="000080"/>
          <w:sz w:val="22"/>
          <w:szCs w:val="22"/>
          <w:highlight w:val="yellow"/>
        </w:rPr>
        <w:t>)</w:t>
      </w:r>
      <w:r w:rsidR="004735E1" w:rsidRPr="002D37B4">
        <w:rPr>
          <w:color w:val="000080"/>
          <w:sz w:val="22"/>
          <w:szCs w:val="22"/>
          <w:highlight w:val="yellow"/>
        </w:rPr>
        <w:t xml:space="preserve">  GASB 84 clarified these requirements for classifying a fund as a private pu</w:t>
      </w:r>
      <w:r w:rsidR="004735E1" w:rsidRPr="00102650">
        <w:rPr>
          <w:color w:val="000080"/>
          <w:sz w:val="22"/>
          <w:szCs w:val="22"/>
          <w:highlight w:val="yellow"/>
        </w:rPr>
        <w:t xml:space="preserve">rpose trust fund, including that the assets are </w:t>
      </w:r>
      <w:r w:rsidR="004735E1" w:rsidRPr="00102650">
        <w:rPr>
          <w:sz w:val="22"/>
          <w:szCs w:val="22"/>
          <w:highlight w:val="yellow"/>
        </w:rPr>
        <w:t xml:space="preserve">(a) administered through a trust in which the government itself is </w:t>
      </w:r>
      <w:r w:rsidR="004735E1" w:rsidRPr="00102650">
        <w:rPr>
          <w:i/>
          <w:iCs/>
          <w:sz w:val="22"/>
          <w:szCs w:val="22"/>
          <w:highlight w:val="yellow"/>
        </w:rPr>
        <w:t xml:space="preserve">not </w:t>
      </w:r>
      <w:r w:rsidR="004735E1" w:rsidRPr="00102650">
        <w:rPr>
          <w:sz w:val="22"/>
          <w:szCs w:val="22"/>
          <w:highlight w:val="yellow"/>
        </w:rPr>
        <w:t>a beneficiary, (b) dedicated to providing benefits to recipients in accordance with the benefit terms, and (c) legally protected from the creditors of the government.  See Bulletin 2020-003 for additional classification guidance.</w:t>
      </w:r>
      <w:r w:rsidR="004735E1" w:rsidRPr="00102650">
        <w:rPr>
          <w:color w:val="000080"/>
          <w:sz w:val="22"/>
          <w:szCs w:val="22"/>
          <w:highlight w:val="yellow"/>
        </w:rPr>
        <w:t>)</w:t>
      </w:r>
    </w:p>
    <w:p w14:paraId="6CB3EAB5" w14:textId="77777777" w:rsidR="00B60E02" w:rsidRDefault="00B60E02" w:rsidP="00533678">
      <w:pPr>
        <w:widowControl/>
        <w:jc w:val="both"/>
        <w:rPr>
          <w:sz w:val="22"/>
          <w:szCs w:val="22"/>
          <w:lang w:eastAsia="ja-JP"/>
        </w:rPr>
      </w:pPr>
    </w:p>
    <w:p w14:paraId="4D4006D5" w14:textId="77777777" w:rsidR="003B14F6" w:rsidRPr="005374C3" w:rsidRDefault="003B14F6" w:rsidP="00533678">
      <w:pPr>
        <w:widowControl/>
        <w:jc w:val="both"/>
        <w:rPr>
          <w:b/>
          <w:i/>
          <w:sz w:val="22"/>
          <w:szCs w:val="22"/>
          <w:lang w:eastAsia="ja-JP"/>
        </w:rPr>
      </w:pPr>
      <w:r w:rsidRPr="005374C3">
        <w:rPr>
          <w:b/>
          <w:i/>
          <w:sz w:val="22"/>
          <w:szCs w:val="22"/>
          <w:lang w:eastAsia="ja-JP"/>
        </w:rPr>
        <w:t>Basis of Accounting</w:t>
      </w:r>
    </w:p>
    <w:p w14:paraId="2C52F491" w14:textId="77777777" w:rsidR="003B14F6" w:rsidRPr="005374C3" w:rsidRDefault="003B14F6" w:rsidP="00533678">
      <w:pPr>
        <w:widowControl/>
        <w:jc w:val="both"/>
        <w:rPr>
          <w:sz w:val="22"/>
          <w:szCs w:val="22"/>
          <w:lang w:eastAsia="ja-JP"/>
        </w:rPr>
      </w:pPr>
    </w:p>
    <w:p w14:paraId="057D3AB1" w14:textId="77777777" w:rsidR="003B14F6" w:rsidRPr="005374C3" w:rsidRDefault="003B14F6" w:rsidP="00533678">
      <w:pPr>
        <w:widowControl/>
        <w:jc w:val="both"/>
        <w:rPr>
          <w:sz w:val="22"/>
          <w:szCs w:val="22"/>
        </w:rPr>
      </w:pPr>
      <w:r w:rsidRPr="005374C3">
        <w:rPr>
          <w:sz w:val="22"/>
          <w:szCs w:val="22"/>
        </w:rPr>
        <w:t xml:space="preserve">The Library’s financial statements are prepared using the </w:t>
      </w:r>
      <w:r w:rsidRPr="00B60E02">
        <w:rPr>
          <w:sz w:val="22"/>
          <w:szCs w:val="22"/>
          <w:highlight w:val="green"/>
        </w:rPr>
        <w:t>modified</w:t>
      </w:r>
      <w:r w:rsidRPr="005374C3">
        <w:rPr>
          <w:sz w:val="22"/>
          <w:szCs w:val="22"/>
        </w:rPr>
        <w:t xml:space="preserve"> cash basis of accounting.  </w:t>
      </w:r>
      <w:r w:rsidRPr="00B60E02">
        <w:rPr>
          <w:sz w:val="22"/>
          <w:szCs w:val="22"/>
          <w:highlight w:val="green"/>
        </w:rPr>
        <w:t>Except for modifications having substantial support</w:t>
      </w:r>
      <w:r w:rsidRPr="005374C3">
        <w:rPr>
          <w:sz w:val="22"/>
          <w:szCs w:val="22"/>
        </w:rPr>
        <w:t>, receipts are recorded in the Library’s financial records and reported in the financial statements when cash is received rather than when earned and disbursements are recorded when cash is paid rather than when a liability is incurred.  Any such modifications made by the Library are described in the appropriate section in this note.</w:t>
      </w:r>
    </w:p>
    <w:p w14:paraId="30414DE0" w14:textId="77777777" w:rsidR="003B14F6" w:rsidRPr="005374C3" w:rsidRDefault="003B14F6" w:rsidP="00533678">
      <w:pPr>
        <w:widowControl/>
        <w:jc w:val="both"/>
        <w:rPr>
          <w:sz w:val="22"/>
          <w:szCs w:val="22"/>
        </w:rPr>
      </w:pPr>
    </w:p>
    <w:p w14:paraId="54555F58" w14:textId="77777777" w:rsidR="003B14F6" w:rsidRPr="005374C3" w:rsidRDefault="003B14F6" w:rsidP="00533678">
      <w:pPr>
        <w:widowControl/>
        <w:jc w:val="both"/>
        <w:rPr>
          <w:sz w:val="22"/>
          <w:szCs w:val="22"/>
        </w:rPr>
      </w:pPr>
      <w:r w:rsidRPr="005374C3">
        <w:rPr>
          <w:sz w:val="22"/>
          <w:szCs w:val="22"/>
        </w:rPr>
        <w:t xml:space="preserve">As a result of the use of this </w:t>
      </w:r>
      <w:r w:rsidRPr="00B60E02">
        <w:rPr>
          <w:sz w:val="22"/>
          <w:szCs w:val="22"/>
          <w:highlight w:val="green"/>
        </w:rPr>
        <w:t>modified</w:t>
      </w:r>
      <w:r w:rsidRPr="005374C3">
        <w:rPr>
          <w:sz w:val="22"/>
          <w:szCs w:val="22"/>
        </w:rPr>
        <w:t xml:space="preserve"> cash basis of accounting, certain assets and their related revenues (such as accounts receivable and revenue for billed or provided services not yet collected) and certain liabilities and their related expenses (such as accounts payable and expenses for goods or services received but not yet paid, and accrued liabilities</w:t>
      </w:r>
      <w:r w:rsidR="00A31B5E" w:rsidRPr="005374C3">
        <w:rPr>
          <w:sz w:val="22"/>
          <w:szCs w:val="22"/>
        </w:rPr>
        <w:t xml:space="preserve"> and the related expenses</w:t>
      </w:r>
      <w:r w:rsidRPr="005374C3">
        <w:rPr>
          <w:sz w:val="22"/>
          <w:szCs w:val="22"/>
        </w:rPr>
        <w:t>) are not recorded in these financial statements.</w:t>
      </w:r>
    </w:p>
    <w:p w14:paraId="6A378C0E" w14:textId="77777777" w:rsidR="00B60E02" w:rsidRDefault="00B60E02" w:rsidP="00533678">
      <w:pPr>
        <w:widowControl/>
        <w:jc w:val="both"/>
        <w:rPr>
          <w:i/>
          <w:sz w:val="22"/>
          <w:szCs w:val="22"/>
        </w:rPr>
      </w:pPr>
    </w:p>
    <w:p w14:paraId="7004F429" w14:textId="77777777" w:rsidR="00B60E02" w:rsidRPr="00B60E02" w:rsidRDefault="00B60E02" w:rsidP="00533678">
      <w:pPr>
        <w:widowControl/>
        <w:autoSpaceDE/>
        <w:autoSpaceDN/>
        <w:adjustRightInd/>
        <w:jc w:val="both"/>
        <w:rPr>
          <w:sz w:val="22"/>
          <w:szCs w:val="22"/>
        </w:rPr>
      </w:pPr>
      <w:r w:rsidRPr="00B60E02">
        <w:rPr>
          <w:sz w:val="22"/>
          <w:szCs w:val="22"/>
          <w:highlight w:val="green"/>
        </w:rPr>
        <w:t>If using modified cash, include explanation of modification you are making.</w:t>
      </w:r>
    </w:p>
    <w:p w14:paraId="0917CB80" w14:textId="77777777" w:rsidR="00B60E02" w:rsidRDefault="00B60E02" w:rsidP="00533678">
      <w:pPr>
        <w:widowControl/>
        <w:jc w:val="both"/>
        <w:rPr>
          <w:i/>
          <w:sz w:val="22"/>
          <w:szCs w:val="22"/>
        </w:rPr>
      </w:pPr>
    </w:p>
    <w:p w14:paraId="70E691B0" w14:textId="77777777" w:rsidR="003B14F6" w:rsidRPr="00B60E02" w:rsidRDefault="003B14F6" w:rsidP="00533678">
      <w:pPr>
        <w:widowControl/>
        <w:jc w:val="both"/>
        <w:rPr>
          <w:sz w:val="22"/>
          <w:szCs w:val="22"/>
          <w:highlight w:val="yellow"/>
        </w:rPr>
      </w:pPr>
      <w:r w:rsidRPr="00B60E02">
        <w:rPr>
          <w:sz w:val="22"/>
          <w:szCs w:val="22"/>
          <w:highlight w:val="yellow"/>
        </w:rPr>
        <w:t>Two criteria which are helpful in determining whether a modification to the cash basis has substantial support are:</w:t>
      </w:r>
    </w:p>
    <w:p w14:paraId="587002E0" w14:textId="77777777" w:rsidR="005374C3" w:rsidRPr="00B60E02" w:rsidRDefault="005374C3" w:rsidP="00533678">
      <w:pPr>
        <w:widowControl/>
        <w:jc w:val="both"/>
        <w:rPr>
          <w:sz w:val="22"/>
          <w:szCs w:val="22"/>
          <w:highlight w:val="yellow"/>
        </w:rPr>
      </w:pPr>
    </w:p>
    <w:p w14:paraId="5C2B219E" w14:textId="6B7F5A7F" w:rsidR="003B14F6" w:rsidRPr="0068013F" w:rsidRDefault="003B14F6" w:rsidP="0068013F">
      <w:pPr>
        <w:pStyle w:val="ListParagraph"/>
        <w:widowControl/>
        <w:numPr>
          <w:ilvl w:val="0"/>
          <w:numId w:val="16"/>
        </w:numPr>
        <w:jc w:val="both"/>
        <w:rPr>
          <w:sz w:val="22"/>
          <w:szCs w:val="22"/>
          <w:highlight w:val="yellow"/>
        </w:rPr>
      </w:pPr>
      <w:r w:rsidRPr="0068013F">
        <w:rPr>
          <w:sz w:val="22"/>
          <w:szCs w:val="22"/>
          <w:highlight w:val="yellow"/>
        </w:rPr>
        <w:t xml:space="preserve">The modification is equivalent to the accrual basis of accounting (or modified accrual basis, </w:t>
      </w:r>
      <w:r w:rsidR="005374C3" w:rsidRPr="0068013F">
        <w:rPr>
          <w:sz w:val="22"/>
          <w:szCs w:val="22"/>
          <w:highlight w:val="yellow"/>
        </w:rPr>
        <w:tab/>
      </w:r>
      <w:r w:rsidRPr="0068013F">
        <w:rPr>
          <w:sz w:val="22"/>
          <w:szCs w:val="22"/>
          <w:highlight w:val="yellow"/>
        </w:rPr>
        <w:t>where applicable, in GAAP for state and local governments) for a particular item; and</w:t>
      </w:r>
    </w:p>
    <w:p w14:paraId="7DB586DB" w14:textId="77777777" w:rsidR="005374C3" w:rsidRPr="00B60E02" w:rsidRDefault="005374C3" w:rsidP="00533678">
      <w:pPr>
        <w:widowControl/>
        <w:ind w:left="720"/>
        <w:jc w:val="both"/>
        <w:rPr>
          <w:sz w:val="22"/>
          <w:szCs w:val="22"/>
          <w:highlight w:val="yellow"/>
        </w:rPr>
      </w:pPr>
    </w:p>
    <w:p w14:paraId="3803854E" w14:textId="32F4389D" w:rsidR="003B14F6" w:rsidRPr="0068013F" w:rsidRDefault="003B14F6" w:rsidP="0068013F">
      <w:pPr>
        <w:pStyle w:val="ListParagraph"/>
        <w:widowControl/>
        <w:numPr>
          <w:ilvl w:val="0"/>
          <w:numId w:val="16"/>
        </w:numPr>
        <w:jc w:val="both"/>
        <w:rPr>
          <w:sz w:val="22"/>
          <w:szCs w:val="22"/>
          <w:highlight w:val="yellow"/>
        </w:rPr>
      </w:pPr>
      <w:r w:rsidRPr="0068013F">
        <w:rPr>
          <w:sz w:val="22"/>
          <w:szCs w:val="22"/>
          <w:highlight w:val="yellow"/>
        </w:rPr>
        <w:t>The modification is not illogical.</w:t>
      </w:r>
    </w:p>
    <w:p w14:paraId="7A1DE403" w14:textId="77777777" w:rsidR="003B14F6" w:rsidRPr="00B60E02" w:rsidRDefault="003B14F6" w:rsidP="00533678">
      <w:pPr>
        <w:widowControl/>
        <w:jc w:val="both"/>
        <w:rPr>
          <w:sz w:val="22"/>
          <w:szCs w:val="22"/>
          <w:highlight w:val="yellow"/>
        </w:rPr>
      </w:pPr>
      <w:r w:rsidRPr="00B60E02">
        <w:rPr>
          <w:sz w:val="22"/>
          <w:szCs w:val="22"/>
          <w:highlight w:val="yellow"/>
        </w:rPr>
        <w:lastRenderedPageBreak/>
        <w:t>In the process of implementing the modified cash basis, the Library should use the following criteria:</w:t>
      </w:r>
    </w:p>
    <w:p w14:paraId="67C14FC2" w14:textId="77777777" w:rsidR="005374C3" w:rsidRPr="00B60E02" w:rsidRDefault="005374C3" w:rsidP="00533678">
      <w:pPr>
        <w:widowControl/>
        <w:jc w:val="both"/>
        <w:rPr>
          <w:sz w:val="22"/>
          <w:szCs w:val="22"/>
          <w:highlight w:val="yellow"/>
        </w:rPr>
      </w:pPr>
    </w:p>
    <w:p w14:paraId="7E1DAB4D" w14:textId="1C9DFB21" w:rsidR="003B14F6" w:rsidRPr="0068013F" w:rsidRDefault="003B14F6" w:rsidP="0068013F">
      <w:pPr>
        <w:pStyle w:val="ListParagraph"/>
        <w:widowControl/>
        <w:numPr>
          <w:ilvl w:val="0"/>
          <w:numId w:val="17"/>
        </w:numPr>
        <w:jc w:val="both"/>
        <w:rPr>
          <w:sz w:val="22"/>
          <w:szCs w:val="22"/>
          <w:highlight w:val="yellow"/>
        </w:rPr>
      </w:pPr>
      <w:r w:rsidRPr="0068013F">
        <w:rPr>
          <w:sz w:val="22"/>
          <w:szCs w:val="22"/>
          <w:highlight w:val="yellow"/>
        </w:rPr>
        <w:t xml:space="preserve">The modifications should be made only to transactions initially derived from cash receipts or </w:t>
      </w:r>
      <w:r w:rsidR="005374C3" w:rsidRPr="0068013F">
        <w:rPr>
          <w:sz w:val="22"/>
          <w:szCs w:val="22"/>
          <w:highlight w:val="yellow"/>
        </w:rPr>
        <w:tab/>
      </w:r>
      <w:r w:rsidRPr="0068013F">
        <w:rPr>
          <w:sz w:val="22"/>
          <w:szCs w:val="22"/>
          <w:highlight w:val="yellow"/>
        </w:rPr>
        <w:t>disbursements; and</w:t>
      </w:r>
    </w:p>
    <w:p w14:paraId="5341A368" w14:textId="77777777" w:rsidR="005374C3" w:rsidRPr="00B60E02" w:rsidRDefault="005374C3" w:rsidP="00533678">
      <w:pPr>
        <w:widowControl/>
        <w:ind w:left="720"/>
        <w:jc w:val="both"/>
        <w:rPr>
          <w:sz w:val="22"/>
          <w:szCs w:val="22"/>
          <w:highlight w:val="yellow"/>
        </w:rPr>
      </w:pPr>
    </w:p>
    <w:p w14:paraId="18269F21" w14:textId="7D4FAC0F" w:rsidR="003B14F6" w:rsidRPr="0068013F" w:rsidRDefault="003B14F6" w:rsidP="0068013F">
      <w:pPr>
        <w:pStyle w:val="ListParagraph"/>
        <w:widowControl/>
        <w:numPr>
          <w:ilvl w:val="0"/>
          <w:numId w:val="17"/>
        </w:numPr>
        <w:jc w:val="both"/>
        <w:rPr>
          <w:sz w:val="22"/>
          <w:szCs w:val="22"/>
          <w:highlight w:val="yellow"/>
        </w:rPr>
      </w:pPr>
      <w:r w:rsidRPr="0068013F">
        <w:rPr>
          <w:sz w:val="22"/>
          <w:szCs w:val="22"/>
          <w:highlight w:val="yellow"/>
        </w:rPr>
        <w:t>The modifications should have substantial support by being both equivalent to GAAP and logical.</w:t>
      </w:r>
    </w:p>
    <w:p w14:paraId="1CB3805E" w14:textId="77777777" w:rsidR="0050650A" w:rsidRPr="00B60E02" w:rsidRDefault="0050650A" w:rsidP="00533678">
      <w:pPr>
        <w:widowControl/>
        <w:ind w:left="720"/>
        <w:jc w:val="both"/>
        <w:rPr>
          <w:sz w:val="22"/>
          <w:szCs w:val="22"/>
          <w:highlight w:val="yellow"/>
        </w:rPr>
      </w:pPr>
    </w:p>
    <w:p w14:paraId="2D5065A6" w14:textId="4FEBF69B" w:rsidR="00A46915" w:rsidRPr="003626D1" w:rsidRDefault="00A46915" w:rsidP="00533678">
      <w:pPr>
        <w:widowControl/>
        <w:jc w:val="both"/>
        <w:rPr>
          <w:sz w:val="22"/>
          <w:szCs w:val="22"/>
          <w:highlight w:val="yellow"/>
        </w:rPr>
      </w:pPr>
      <w:r w:rsidRPr="00B60E02">
        <w:rPr>
          <w:sz w:val="22"/>
          <w:szCs w:val="22"/>
          <w:highlight w:val="yellow"/>
        </w:rPr>
        <w:t>For example, a modification to report capital assets should involve recording and depreciating only capital assets that result from cash transactions</w:t>
      </w:r>
      <w:r w:rsidRPr="00144090">
        <w:rPr>
          <w:sz w:val="22"/>
          <w:szCs w:val="22"/>
          <w:highlight w:val="yellow"/>
        </w:rPr>
        <w:t xml:space="preserve">.  </w:t>
      </w:r>
      <w:r w:rsidR="00A32E24" w:rsidRPr="00144090">
        <w:rPr>
          <w:color w:val="000000"/>
          <w:sz w:val="22"/>
          <w:szCs w:val="22"/>
          <w:highlight w:val="yellow"/>
        </w:rPr>
        <w:t>This modification should not involve the recording and depreciating of capital assets (including the inta</w:t>
      </w:r>
      <w:r w:rsidR="00A32E24" w:rsidRPr="003626D1">
        <w:rPr>
          <w:color w:val="000000"/>
          <w:sz w:val="22"/>
          <w:szCs w:val="22"/>
          <w:highlight w:val="yellow"/>
        </w:rPr>
        <w:t>ngible right to use) resulting from financed purchases</w:t>
      </w:r>
      <w:r w:rsidR="00144090" w:rsidRPr="003626D1">
        <w:rPr>
          <w:color w:val="000000"/>
          <w:sz w:val="22"/>
          <w:szCs w:val="22"/>
          <w:highlight w:val="yellow"/>
        </w:rPr>
        <w:t xml:space="preserve">, </w:t>
      </w:r>
      <w:r w:rsidR="00A32E24" w:rsidRPr="003626D1">
        <w:rPr>
          <w:color w:val="000000"/>
          <w:sz w:val="22"/>
          <w:szCs w:val="22"/>
          <w:highlight w:val="yellow"/>
        </w:rPr>
        <w:t>lease</w:t>
      </w:r>
      <w:r w:rsidR="00144090" w:rsidRPr="003626D1">
        <w:rPr>
          <w:color w:val="000000"/>
          <w:sz w:val="22"/>
          <w:szCs w:val="22"/>
          <w:highlight w:val="yellow"/>
        </w:rPr>
        <w:t>, SBITA, PPP or APA</w:t>
      </w:r>
      <w:r w:rsidR="00A32E24" w:rsidRPr="003626D1">
        <w:rPr>
          <w:color w:val="000000"/>
          <w:sz w:val="22"/>
          <w:szCs w:val="22"/>
          <w:highlight w:val="yellow"/>
        </w:rPr>
        <w:t xml:space="preserve"> transactions or donated capital assets, unless these assets are the result of a cash transaction. </w:t>
      </w:r>
      <w:r w:rsidRPr="003626D1">
        <w:rPr>
          <w:sz w:val="22"/>
          <w:szCs w:val="22"/>
          <w:highlight w:val="yellow"/>
        </w:rPr>
        <w:t>Depreciating capital assets that were acquired with cash is considered logical because it is a GAAP-equivalent allocation of the cash basis asset</w:t>
      </w:r>
      <w:r w:rsidR="00931727" w:rsidRPr="003626D1">
        <w:rPr>
          <w:sz w:val="22"/>
          <w:szCs w:val="22"/>
          <w:highlight w:val="yellow"/>
        </w:rPr>
        <w:t>s’</w:t>
      </w:r>
      <w:r w:rsidRPr="003626D1">
        <w:rPr>
          <w:sz w:val="22"/>
          <w:szCs w:val="22"/>
          <w:highlight w:val="yellow"/>
        </w:rPr>
        <w:t xml:space="preserve"> cost</w:t>
      </w:r>
      <w:r w:rsidR="00931727" w:rsidRPr="003626D1">
        <w:rPr>
          <w:sz w:val="22"/>
          <w:szCs w:val="22"/>
          <w:highlight w:val="yellow"/>
        </w:rPr>
        <w:t>s</w:t>
      </w:r>
      <w:r w:rsidRPr="003626D1">
        <w:rPr>
          <w:sz w:val="22"/>
          <w:szCs w:val="22"/>
          <w:highlight w:val="yellow"/>
        </w:rPr>
        <w:t xml:space="preserve"> over the assets’ useful lives.</w:t>
      </w:r>
    </w:p>
    <w:p w14:paraId="0058606F" w14:textId="562D3071" w:rsidR="00A46915" w:rsidRPr="003626D1" w:rsidRDefault="00A46915" w:rsidP="00533678">
      <w:pPr>
        <w:widowControl/>
        <w:jc w:val="both"/>
        <w:rPr>
          <w:sz w:val="22"/>
          <w:szCs w:val="22"/>
          <w:highlight w:val="yellow"/>
          <w:lang w:eastAsia="ja-JP"/>
        </w:rPr>
      </w:pPr>
    </w:p>
    <w:p w14:paraId="06B42309" w14:textId="44C0A598" w:rsidR="002071D1" w:rsidRPr="002071D1" w:rsidRDefault="002071D1" w:rsidP="002071D1">
      <w:pPr>
        <w:widowControl/>
        <w:autoSpaceDE/>
        <w:autoSpaceDN/>
        <w:adjustRightInd/>
        <w:jc w:val="both"/>
        <w:rPr>
          <w:sz w:val="22"/>
          <w:szCs w:val="22"/>
        </w:rPr>
      </w:pPr>
      <w:r w:rsidRPr="003626D1">
        <w:rPr>
          <w:sz w:val="22"/>
          <w:szCs w:val="22"/>
          <w:highlight w:val="yellow"/>
        </w:rPr>
        <w:t xml:space="preserve">The related note disclosure may need updated to correspond </w:t>
      </w:r>
      <w:r w:rsidR="000B7AB8" w:rsidRPr="003626D1">
        <w:rPr>
          <w:sz w:val="22"/>
          <w:szCs w:val="22"/>
          <w:highlight w:val="yellow"/>
        </w:rPr>
        <w:t>with the</w:t>
      </w:r>
      <w:r w:rsidRPr="003626D1">
        <w:rPr>
          <w:sz w:val="22"/>
          <w:szCs w:val="22"/>
          <w:highlight w:val="yellow"/>
        </w:rPr>
        <w:t xml:space="preserve"> modifications being made, including GASB 87</w:t>
      </w:r>
      <w:r w:rsidR="00144090" w:rsidRPr="003626D1">
        <w:rPr>
          <w:sz w:val="22"/>
          <w:szCs w:val="22"/>
          <w:highlight w:val="yellow"/>
        </w:rPr>
        <w:t>, GASB 94 and GASB 96</w:t>
      </w:r>
      <w:r w:rsidRPr="003626D1">
        <w:rPr>
          <w:sz w:val="22"/>
          <w:szCs w:val="22"/>
          <w:highlight w:val="yellow"/>
        </w:rPr>
        <w:t>.</w:t>
      </w:r>
    </w:p>
    <w:p w14:paraId="0F5BC983" w14:textId="77777777" w:rsidR="002071D1" w:rsidRPr="005374C3" w:rsidRDefault="002071D1" w:rsidP="00533678">
      <w:pPr>
        <w:widowControl/>
        <w:jc w:val="both"/>
        <w:rPr>
          <w:sz w:val="22"/>
          <w:szCs w:val="22"/>
          <w:lang w:eastAsia="ja-JP"/>
        </w:rPr>
      </w:pPr>
    </w:p>
    <w:p w14:paraId="59782E9B" w14:textId="77777777" w:rsidR="00DC0F4D" w:rsidRPr="005374C3" w:rsidRDefault="00DC0F4D" w:rsidP="00533678">
      <w:pPr>
        <w:widowControl/>
        <w:jc w:val="both"/>
        <w:rPr>
          <w:b/>
          <w:i/>
          <w:sz w:val="22"/>
          <w:szCs w:val="22"/>
        </w:rPr>
      </w:pPr>
      <w:r w:rsidRPr="005374C3">
        <w:rPr>
          <w:b/>
          <w:i/>
          <w:sz w:val="22"/>
          <w:szCs w:val="22"/>
        </w:rPr>
        <w:t>Budgetary Process</w:t>
      </w:r>
    </w:p>
    <w:p w14:paraId="72A0D78F" w14:textId="77777777" w:rsidR="00DC0F4D" w:rsidRPr="005374C3" w:rsidRDefault="00DC0F4D" w:rsidP="00533678">
      <w:pPr>
        <w:widowControl/>
        <w:jc w:val="both"/>
        <w:rPr>
          <w:sz w:val="22"/>
          <w:szCs w:val="22"/>
          <w:lang w:eastAsia="ja-JP"/>
        </w:rPr>
      </w:pPr>
    </w:p>
    <w:p w14:paraId="1F7A7CB7" w14:textId="752E8D62" w:rsidR="00DD73BD" w:rsidRPr="00B60E02" w:rsidRDefault="00DD73BD" w:rsidP="00533678">
      <w:pPr>
        <w:widowControl/>
        <w:jc w:val="both"/>
        <w:rPr>
          <w:sz w:val="22"/>
          <w:szCs w:val="22"/>
        </w:rPr>
      </w:pPr>
      <w:r w:rsidRPr="005374C3">
        <w:rPr>
          <w:sz w:val="22"/>
          <w:szCs w:val="22"/>
        </w:rPr>
        <w:t>All funds, exc</w:t>
      </w:r>
      <w:r w:rsidRPr="005D701D">
        <w:rPr>
          <w:sz w:val="22"/>
          <w:szCs w:val="22"/>
        </w:rPr>
        <w:t xml:space="preserve">ept </w:t>
      </w:r>
      <w:r w:rsidR="0050650A" w:rsidRPr="005D701D">
        <w:rPr>
          <w:sz w:val="22"/>
          <w:szCs w:val="22"/>
        </w:rPr>
        <w:t>custodial</w:t>
      </w:r>
      <w:r w:rsidRPr="005D701D">
        <w:rPr>
          <w:sz w:val="22"/>
          <w:szCs w:val="22"/>
        </w:rPr>
        <w:t xml:space="preserve"> f</w:t>
      </w:r>
      <w:r w:rsidRPr="005374C3">
        <w:rPr>
          <w:sz w:val="22"/>
          <w:szCs w:val="22"/>
        </w:rPr>
        <w:t xml:space="preserve">unds, are legally required to be appropriated.  The appropriations resolution is the Trustee’s authorization to spend resources and sets limits on </w:t>
      </w:r>
      <w:r w:rsidR="00AA6AC3" w:rsidRPr="005374C3">
        <w:rPr>
          <w:sz w:val="22"/>
          <w:szCs w:val="22"/>
        </w:rPr>
        <w:t xml:space="preserve">cash </w:t>
      </w:r>
      <w:r w:rsidR="00AD3AEF" w:rsidRPr="005374C3">
        <w:rPr>
          <w:sz w:val="22"/>
          <w:szCs w:val="22"/>
        </w:rPr>
        <w:t>disbursements</w:t>
      </w:r>
      <w:r w:rsidRPr="005374C3">
        <w:rPr>
          <w:sz w:val="22"/>
          <w:szCs w:val="22"/>
        </w:rPr>
        <w:t xml:space="preserve"> plus encumbrances at the level of control selected by the </w:t>
      </w:r>
      <w:r w:rsidR="009E3E82" w:rsidRPr="005374C3">
        <w:rPr>
          <w:sz w:val="22"/>
          <w:szCs w:val="22"/>
        </w:rPr>
        <w:t>Trustees</w:t>
      </w:r>
      <w:r w:rsidRPr="005374C3">
        <w:rPr>
          <w:sz w:val="22"/>
          <w:szCs w:val="22"/>
        </w:rPr>
        <w:t xml:space="preserve">.  The legal level of control has been established at the </w:t>
      </w:r>
      <w:r w:rsidRPr="003407B0">
        <w:rPr>
          <w:sz w:val="22"/>
          <w:szCs w:val="22"/>
          <w:highlight w:val="green"/>
        </w:rPr>
        <w:t>fund</w:t>
      </w:r>
      <w:r w:rsidR="009E3E82" w:rsidRPr="003407B0">
        <w:rPr>
          <w:sz w:val="22"/>
          <w:szCs w:val="22"/>
          <w:highlight w:val="green"/>
        </w:rPr>
        <w:t xml:space="preserve"> </w:t>
      </w:r>
      <w:r w:rsidRPr="003407B0">
        <w:rPr>
          <w:sz w:val="22"/>
          <w:szCs w:val="22"/>
          <w:highlight w:val="green"/>
        </w:rPr>
        <w:t xml:space="preserve">and </w:t>
      </w:r>
      <w:r w:rsidR="009E3E82" w:rsidRPr="003407B0">
        <w:rPr>
          <w:sz w:val="22"/>
          <w:szCs w:val="22"/>
          <w:highlight w:val="green"/>
        </w:rPr>
        <w:t xml:space="preserve">character or major category of the </w:t>
      </w:r>
      <w:r w:rsidRPr="003407B0">
        <w:rPr>
          <w:sz w:val="22"/>
          <w:szCs w:val="22"/>
          <w:highlight w:val="green"/>
        </w:rPr>
        <w:t xml:space="preserve">object </w:t>
      </w:r>
      <w:r w:rsidR="009E3E82" w:rsidRPr="003407B0">
        <w:rPr>
          <w:sz w:val="22"/>
          <w:szCs w:val="22"/>
          <w:highlight w:val="green"/>
        </w:rPr>
        <w:t xml:space="preserve">code </w:t>
      </w:r>
      <w:r w:rsidRPr="003407B0">
        <w:rPr>
          <w:sz w:val="22"/>
          <w:szCs w:val="22"/>
          <w:highlight w:val="green"/>
        </w:rPr>
        <w:t>level for all funds</w:t>
      </w:r>
      <w:r w:rsidRPr="005374C3">
        <w:rPr>
          <w:sz w:val="22"/>
          <w:szCs w:val="22"/>
        </w:rPr>
        <w:t>.</w:t>
      </w:r>
      <w:r w:rsidR="009E3E82" w:rsidRPr="005374C3">
        <w:rPr>
          <w:sz w:val="22"/>
          <w:szCs w:val="22"/>
        </w:rPr>
        <w:t xml:space="preserve">  Budgetary modifications at the legal level of control may only be made by resolution of the Board of Library Trustees.</w:t>
      </w:r>
      <w:r w:rsidRPr="005374C3">
        <w:rPr>
          <w:sz w:val="22"/>
          <w:szCs w:val="22"/>
        </w:rPr>
        <w:t xml:space="preserve">  </w:t>
      </w:r>
      <w:r w:rsidRPr="00B60E02">
        <w:rPr>
          <w:sz w:val="22"/>
          <w:szCs w:val="22"/>
          <w:highlight w:val="yellow"/>
        </w:rPr>
        <w:t>(Modify as needed.</w:t>
      </w:r>
      <w:r w:rsidR="003D2F74" w:rsidRPr="00B60E02">
        <w:rPr>
          <w:sz w:val="22"/>
          <w:szCs w:val="22"/>
          <w:highlight w:val="yellow"/>
        </w:rPr>
        <w:t>)</w:t>
      </w:r>
    </w:p>
    <w:p w14:paraId="390F4462" w14:textId="77777777" w:rsidR="00DD73BD" w:rsidRPr="005374C3" w:rsidRDefault="00DD73BD" w:rsidP="00533678">
      <w:pPr>
        <w:widowControl/>
        <w:jc w:val="both"/>
        <w:rPr>
          <w:sz w:val="22"/>
          <w:szCs w:val="22"/>
        </w:rPr>
      </w:pPr>
    </w:p>
    <w:p w14:paraId="19BF3D85" w14:textId="77777777" w:rsidR="00DD73BD" w:rsidRPr="005374C3" w:rsidRDefault="008C6FE5" w:rsidP="00533678">
      <w:pPr>
        <w:widowControl/>
        <w:jc w:val="both"/>
        <w:rPr>
          <w:sz w:val="22"/>
          <w:szCs w:val="22"/>
        </w:rPr>
      </w:pPr>
      <w:r w:rsidRPr="005374C3">
        <w:rPr>
          <w:sz w:val="22"/>
          <w:szCs w:val="22"/>
        </w:rPr>
        <w:t xml:space="preserve">For control purposes, the Library estimates </w:t>
      </w:r>
      <w:r w:rsidR="00AA6AC3" w:rsidRPr="005374C3">
        <w:rPr>
          <w:sz w:val="22"/>
          <w:szCs w:val="22"/>
        </w:rPr>
        <w:t xml:space="preserve">cash receipts for </w:t>
      </w:r>
      <w:r w:rsidRPr="005374C3">
        <w:rPr>
          <w:sz w:val="22"/>
          <w:szCs w:val="22"/>
        </w:rPr>
        <w:t xml:space="preserve">the year.  These estimated </w:t>
      </w:r>
      <w:r w:rsidR="00AD3AEF" w:rsidRPr="005374C3">
        <w:rPr>
          <w:sz w:val="22"/>
          <w:szCs w:val="22"/>
        </w:rPr>
        <w:t>receipt</w:t>
      </w:r>
      <w:r w:rsidRPr="005374C3">
        <w:rPr>
          <w:sz w:val="22"/>
          <w:szCs w:val="22"/>
        </w:rPr>
        <w:t xml:space="preserve">s, together with the unencumbered carry-over balances from the prior year, set a limit on the amount the Trustees may appropriate.  </w:t>
      </w:r>
      <w:r w:rsidR="00DD73BD" w:rsidRPr="005374C3">
        <w:rPr>
          <w:sz w:val="22"/>
          <w:szCs w:val="22"/>
        </w:rPr>
        <w:t xml:space="preserve">The estimated </w:t>
      </w:r>
      <w:r w:rsidR="00AD3AEF" w:rsidRPr="005374C3">
        <w:rPr>
          <w:sz w:val="22"/>
          <w:szCs w:val="22"/>
        </w:rPr>
        <w:t>receipt</w:t>
      </w:r>
      <w:r w:rsidR="00D66D35" w:rsidRPr="005374C3">
        <w:rPr>
          <w:sz w:val="22"/>
          <w:szCs w:val="22"/>
        </w:rPr>
        <w:t xml:space="preserve">s </w:t>
      </w:r>
      <w:r w:rsidR="00DD73BD" w:rsidRPr="005374C3">
        <w:rPr>
          <w:sz w:val="22"/>
          <w:szCs w:val="22"/>
        </w:rPr>
        <w:t xml:space="preserve">may be </w:t>
      </w:r>
      <w:r w:rsidR="00D66D35" w:rsidRPr="005374C3">
        <w:rPr>
          <w:sz w:val="22"/>
          <w:szCs w:val="22"/>
        </w:rPr>
        <w:t>revised</w:t>
      </w:r>
      <w:r w:rsidR="00DD73BD" w:rsidRPr="005374C3">
        <w:rPr>
          <w:sz w:val="22"/>
          <w:szCs w:val="22"/>
        </w:rPr>
        <w:t xml:space="preserve"> during the year if projected increases or decreases in </w:t>
      </w:r>
      <w:r w:rsidR="00AD3AEF" w:rsidRPr="005374C3">
        <w:rPr>
          <w:sz w:val="22"/>
          <w:szCs w:val="22"/>
        </w:rPr>
        <w:t>receipt</w:t>
      </w:r>
      <w:r w:rsidR="00AA6AC3" w:rsidRPr="005374C3">
        <w:rPr>
          <w:sz w:val="22"/>
          <w:szCs w:val="22"/>
        </w:rPr>
        <w:t>s</w:t>
      </w:r>
      <w:r w:rsidR="00DD73BD" w:rsidRPr="005374C3">
        <w:rPr>
          <w:sz w:val="22"/>
          <w:szCs w:val="22"/>
        </w:rPr>
        <w:t xml:space="preserve"> are identified by the </w:t>
      </w:r>
      <w:r w:rsidR="00DD73BD" w:rsidRPr="003407B0">
        <w:rPr>
          <w:sz w:val="22"/>
          <w:szCs w:val="22"/>
          <w:highlight w:val="green"/>
        </w:rPr>
        <w:t>Clerk</w:t>
      </w:r>
      <w:r w:rsidR="003407B0">
        <w:rPr>
          <w:sz w:val="22"/>
          <w:szCs w:val="22"/>
          <w:highlight w:val="green"/>
        </w:rPr>
        <w:t>/</w:t>
      </w:r>
      <w:r w:rsidR="009E3E82" w:rsidRPr="003407B0">
        <w:rPr>
          <w:sz w:val="22"/>
          <w:szCs w:val="22"/>
          <w:highlight w:val="green"/>
        </w:rPr>
        <w:t>Treasurer</w:t>
      </w:r>
      <w:r w:rsidR="00DD73BD" w:rsidRPr="005374C3">
        <w:rPr>
          <w:sz w:val="22"/>
          <w:szCs w:val="22"/>
        </w:rPr>
        <w:t xml:space="preserve">. The amounts reported as the original budgeted amounts on the budgetary statements reflect the amounts </w:t>
      </w:r>
      <w:r w:rsidR="00D66D35" w:rsidRPr="005374C3">
        <w:rPr>
          <w:sz w:val="22"/>
          <w:szCs w:val="22"/>
        </w:rPr>
        <w:t xml:space="preserve">of </w:t>
      </w:r>
      <w:r w:rsidR="00DD73BD" w:rsidRPr="005374C3">
        <w:rPr>
          <w:sz w:val="22"/>
          <w:szCs w:val="22"/>
        </w:rPr>
        <w:t xml:space="preserve">estimated resources when the original appropriations were adopted.  The amounts reported as the final budgeted amounts on the budgetary statements reflect the amounts of estimated resources at the time final appropriations were </w:t>
      </w:r>
      <w:r w:rsidR="009E3E82" w:rsidRPr="005374C3">
        <w:rPr>
          <w:sz w:val="22"/>
          <w:szCs w:val="22"/>
        </w:rPr>
        <w:t xml:space="preserve">enacted </w:t>
      </w:r>
      <w:r w:rsidR="00DD73BD" w:rsidRPr="005374C3">
        <w:rPr>
          <w:sz w:val="22"/>
          <w:szCs w:val="22"/>
        </w:rPr>
        <w:t xml:space="preserve">by the </w:t>
      </w:r>
      <w:r w:rsidR="009E3E82" w:rsidRPr="005374C3">
        <w:rPr>
          <w:sz w:val="22"/>
          <w:szCs w:val="22"/>
        </w:rPr>
        <w:t>Trustees</w:t>
      </w:r>
      <w:r w:rsidR="00DD73BD" w:rsidRPr="005374C3">
        <w:rPr>
          <w:sz w:val="22"/>
          <w:szCs w:val="22"/>
        </w:rPr>
        <w:t>.</w:t>
      </w:r>
    </w:p>
    <w:p w14:paraId="58A7C998" w14:textId="77777777" w:rsidR="00DD73BD" w:rsidRPr="005374C3" w:rsidRDefault="00DD73BD" w:rsidP="00533678">
      <w:pPr>
        <w:widowControl/>
        <w:jc w:val="both"/>
        <w:rPr>
          <w:sz w:val="22"/>
          <w:szCs w:val="22"/>
        </w:rPr>
      </w:pPr>
    </w:p>
    <w:p w14:paraId="37EDA17D" w14:textId="77777777" w:rsidR="00DD73BD" w:rsidRPr="005374C3" w:rsidRDefault="00DD73BD" w:rsidP="00533678">
      <w:pPr>
        <w:widowControl/>
        <w:jc w:val="both"/>
        <w:rPr>
          <w:sz w:val="22"/>
          <w:szCs w:val="22"/>
        </w:rPr>
      </w:pPr>
      <w:r w:rsidRPr="005374C3">
        <w:rPr>
          <w:sz w:val="22"/>
          <w:szCs w:val="22"/>
        </w:rPr>
        <w:t xml:space="preserve">The appropriations </w:t>
      </w:r>
      <w:r w:rsidR="009E3E82" w:rsidRPr="005374C3">
        <w:rPr>
          <w:sz w:val="22"/>
          <w:szCs w:val="22"/>
        </w:rPr>
        <w:t xml:space="preserve">resolution </w:t>
      </w:r>
      <w:r w:rsidRPr="005374C3">
        <w:rPr>
          <w:sz w:val="22"/>
          <w:szCs w:val="22"/>
        </w:rPr>
        <w:t xml:space="preserve">is subject to amendment throughout the year with the restriction that appropriations </w:t>
      </w:r>
      <w:r w:rsidR="008C6FE5" w:rsidRPr="005374C3">
        <w:rPr>
          <w:sz w:val="22"/>
          <w:szCs w:val="22"/>
        </w:rPr>
        <w:t xml:space="preserve">should not </w:t>
      </w:r>
      <w:r w:rsidRPr="005374C3">
        <w:rPr>
          <w:sz w:val="22"/>
          <w:szCs w:val="22"/>
        </w:rPr>
        <w:t xml:space="preserve">exceed estimated resources.  The amounts reported as the original budgeted amounts reflect the first appropriation ordinance for that fund that covered the entire year, including amounts automatically carried forward from prior years.  The amounts reported as the final budgeted amounts represent the final appropriation amounts passed by the </w:t>
      </w:r>
      <w:r w:rsidR="009E3E82" w:rsidRPr="005374C3">
        <w:rPr>
          <w:sz w:val="22"/>
          <w:szCs w:val="22"/>
        </w:rPr>
        <w:t>Trustees</w:t>
      </w:r>
      <w:r w:rsidRPr="005374C3">
        <w:rPr>
          <w:sz w:val="22"/>
          <w:szCs w:val="22"/>
        </w:rPr>
        <w:t xml:space="preserve"> during the year.</w:t>
      </w:r>
    </w:p>
    <w:p w14:paraId="32590703" w14:textId="77777777" w:rsidR="00D45FD5" w:rsidRPr="005374C3" w:rsidRDefault="00D45FD5" w:rsidP="00533678">
      <w:pPr>
        <w:widowControl/>
        <w:jc w:val="both"/>
        <w:rPr>
          <w:sz w:val="22"/>
          <w:szCs w:val="22"/>
          <w:lang w:eastAsia="ja-JP"/>
        </w:rPr>
      </w:pPr>
    </w:p>
    <w:p w14:paraId="1C6EC653" w14:textId="77777777" w:rsidR="00DC7139" w:rsidRDefault="00DC7139" w:rsidP="00533678">
      <w:pPr>
        <w:widowControl/>
        <w:jc w:val="both"/>
        <w:rPr>
          <w:b/>
          <w:i/>
          <w:sz w:val="22"/>
          <w:szCs w:val="22"/>
          <w:lang w:eastAsia="ja-JP"/>
        </w:rPr>
      </w:pPr>
      <w:r w:rsidRPr="005374C3">
        <w:rPr>
          <w:b/>
          <w:i/>
          <w:sz w:val="22"/>
          <w:szCs w:val="22"/>
          <w:lang w:eastAsia="ja-JP"/>
        </w:rPr>
        <w:t>Cash and Cash Equivalents</w:t>
      </w:r>
    </w:p>
    <w:p w14:paraId="60BB1586" w14:textId="77777777" w:rsidR="00BA6D63" w:rsidRPr="005374C3" w:rsidRDefault="00BA6D63" w:rsidP="00533678">
      <w:pPr>
        <w:widowControl/>
        <w:jc w:val="both"/>
        <w:rPr>
          <w:b/>
          <w:i/>
          <w:sz w:val="22"/>
          <w:szCs w:val="22"/>
          <w:lang w:eastAsia="ja-JP"/>
        </w:rPr>
      </w:pPr>
    </w:p>
    <w:p w14:paraId="04359870" w14:textId="77777777" w:rsidR="008B0181" w:rsidRPr="00B60E02" w:rsidRDefault="00A935E5" w:rsidP="00533678">
      <w:pPr>
        <w:widowControl/>
        <w:jc w:val="both"/>
        <w:rPr>
          <w:sz w:val="22"/>
          <w:szCs w:val="22"/>
        </w:rPr>
      </w:pPr>
      <w:r w:rsidRPr="00B60E02">
        <w:rPr>
          <w:sz w:val="22"/>
          <w:szCs w:val="22"/>
        </w:rPr>
        <w:t xml:space="preserve">To improve cash management, cash received by the </w:t>
      </w:r>
      <w:r w:rsidR="0024792F" w:rsidRPr="00B60E02">
        <w:rPr>
          <w:sz w:val="22"/>
          <w:szCs w:val="22"/>
        </w:rPr>
        <w:t>Librar</w:t>
      </w:r>
      <w:r w:rsidRPr="00B60E02">
        <w:rPr>
          <w:sz w:val="22"/>
          <w:szCs w:val="22"/>
        </w:rPr>
        <w:t xml:space="preserve">y is </w:t>
      </w:r>
      <w:r w:rsidR="00F83352" w:rsidRPr="00B60E02">
        <w:rPr>
          <w:sz w:val="22"/>
          <w:szCs w:val="22"/>
        </w:rPr>
        <w:t>pooled and invested</w:t>
      </w:r>
      <w:r w:rsidRPr="00B60E02">
        <w:rPr>
          <w:sz w:val="22"/>
          <w:szCs w:val="22"/>
        </w:rPr>
        <w:t xml:space="preserve">.  Individual fund integrity is maintained through the </w:t>
      </w:r>
      <w:r w:rsidR="0024792F" w:rsidRPr="00B60E02">
        <w:rPr>
          <w:sz w:val="22"/>
          <w:szCs w:val="22"/>
        </w:rPr>
        <w:t>Library</w:t>
      </w:r>
      <w:r w:rsidRPr="00B60E02">
        <w:rPr>
          <w:sz w:val="22"/>
          <w:szCs w:val="22"/>
        </w:rPr>
        <w:t xml:space="preserve">'s records.  </w:t>
      </w:r>
      <w:r w:rsidR="00BB68F3" w:rsidRPr="00B60E02">
        <w:rPr>
          <w:sz w:val="22"/>
          <w:szCs w:val="22"/>
        </w:rPr>
        <w:t>I</w:t>
      </w:r>
      <w:r w:rsidRPr="00B60E02">
        <w:rPr>
          <w:sz w:val="22"/>
          <w:szCs w:val="22"/>
        </w:rPr>
        <w:t>nterest in the pool is presented as “</w:t>
      </w:r>
      <w:r w:rsidR="00F83352" w:rsidRPr="00B60E02">
        <w:rPr>
          <w:sz w:val="22"/>
          <w:szCs w:val="22"/>
        </w:rPr>
        <w:t>E</w:t>
      </w:r>
      <w:r w:rsidR="008B0181" w:rsidRPr="00B60E02">
        <w:rPr>
          <w:sz w:val="22"/>
          <w:szCs w:val="22"/>
        </w:rPr>
        <w:t xml:space="preserve">quity </w:t>
      </w:r>
      <w:r w:rsidR="00F83352" w:rsidRPr="00B60E02">
        <w:rPr>
          <w:sz w:val="22"/>
          <w:szCs w:val="22"/>
        </w:rPr>
        <w:t>in P</w:t>
      </w:r>
      <w:r w:rsidR="008B0181" w:rsidRPr="00B60E02">
        <w:rPr>
          <w:sz w:val="22"/>
          <w:szCs w:val="22"/>
        </w:rPr>
        <w:t xml:space="preserve">ooled </w:t>
      </w:r>
      <w:r w:rsidR="00F83352" w:rsidRPr="00B60E02">
        <w:rPr>
          <w:sz w:val="22"/>
          <w:szCs w:val="22"/>
        </w:rPr>
        <w:t>C</w:t>
      </w:r>
      <w:r w:rsidRPr="00B60E02">
        <w:rPr>
          <w:sz w:val="22"/>
          <w:szCs w:val="22"/>
        </w:rPr>
        <w:t xml:space="preserve">ash and </w:t>
      </w:r>
      <w:r w:rsidR="00F83352" w:rsidRPr="00B60E02">
        <w:rPr>
          <w:sz w:val="22"/>
          <w:szCs w:val="22"/>
        </w:rPr>
        <w:t>C</w:t>
      </w:r>
      <w:r w:rsidRPr="00B60E02">
        <w:rPr>
          <w:sz w:val="22"/>
          <w:szCs w:val="22"/>
        </w:rPr>
        <w:t xml:space="preserve">ash </w:t>
      </w:r>
      <w:r w:rsidR="00F83352" w:rsidRPr="00B60E02">
        <w:rPr>
          <w:sz w:val="22"/>
          <w:szCs w:val="22"/>
        </w:rPr>
        <w:t>E</w:t>
      </w:r>
      <w:r w:rsidRPr="00B60E02">
        <w:rPr>
          <w:sz w:val="22"/>
          <w:szCs w:val="22"/>
        </w:rPr>
        <w:t>quivalents</w:t>
      </w:r>
      <w:r w:rsidR="008B0181" w:rsidRPr="00B60E02">
        <w:rPr>
          <w:sz w:val="22"/>
          <w:szCs w:val="22"/>
        </w:rPr>
        <w:t>.</w:t>
      </w:r>
      <w:r w:rsidRPr="00B60E02">
        <w:rPr>
          <w:sz w:val="22"/>
          <w:szCs w:val="22"/>
        </w:rPr>
        <w:t xml:space="preserve">” </w:t>
      </w:r>
    </w:p>
    <w:p w14:paraId="1725C39A" w14:textId="77777777" w:rsidR="00B60E02" w:rsidRDefault="00B60E02" w:rsidP="00533678">
      <w:pPr>
        <w:widowControl/>
        <w:autoSpaceDE/>
        <w:autoSpaceDN/>
        <w:adjustRightInd/>
        <w:jc w:val="both"/>
        <w:rPr>
          <w:sz w:val="22"/>
          <w:szCs w:val="22"/>
          <w:highlight w:val="green"/>
        </w:rPr>
      </w:pPr>
    </w:p>
    <w:p w14:paraId="1ECDA64A" w14:textId="77777777" w:rsidR="00B60E02" w:rsidRPr="00B60E02" w:rsidRDefault="00B60E02" w:rsidP="00533678">
      <w:pPr>
        <w:widowControl/>
        <w:autoSpaceDE/>
        <w:autoSpaceDN/>
        <w:adjustRightInd/>
        <w:jc w:val="both"/>
        <w:rPr>
          <w:sz w:val="22"/>
          <w:szCs w:val="22"/>
          <w:highlight w:val="green"/>
        </w:rPr>
      </w:pPr>
      <w:r w:rsidRPr="00B60E02">
        <w:rPr>
          <w:sz w:val="22"/>
          <w:szCs w:val="22"/>
          <w:highlight w:val="green"/>
        </w:rPr>
        <w:t xml:space="preserve">Cash and cash equivalents that are held separately in accounts at a financial institution for debt service are reported as “Cash and Cash Equivalents with Fiscal Agents.” </w:t>
      </w:r>
    </w:p>
    <w:p w14:paraId="52713954" w14:textId="77777777" w:rsidR="008B0181" w:rsidRPr="005374C3" w:rsidRDefault="008B0181" w:rsidP="00533678">
      <w:pPr>
        <w:widowControl/>
        <w:jc w:val="both"/>
        <w:rPr>
          <w:i/>
          <w:sz w:val="22"/>
          <w:szCs w:val="22"/>
        </w:rPr>
      </w:pPr>
    </w:p>
    <w:p w14:paraId="5CB11A30" w14:textId="77777777" w:rsidR="00D137C3" w:rsidRPr="00B60E02" w:rsidRDefault="00D137C3" w:rsidP="00533678">
      <w:pPr>
        <w:widowControl/>
        <w:jc w:val="both"/>
        <w:rPr>
          <w:sz w:val="22"/>
          <w:szCs w:val="22"/>
        </w:rPr>
      </w:pPr>
      <w:r w:rsidRPr="00B60E02">
        <w:rPr>
          <w:sz w:val="22"/>
          <w:szCs w:val="22"/>
        </w:rPr>
        <w:lastRenderedPageBreak/>
        <w:t xml:space="preserve">Investments </w:t>
      </w:r>
      <w:r w:rsidR="00B60E02" w:rsidRPr="00B60E02">
        <w:rPr>
          <w:sz w:val="22"/>
          <w:szCs w:val="22"/>
        </w:rPr>
        <w:t xml:space="preserve">of the cash management pool and investments </w:t>
      </w:r>
      <w:r w:rsidRPr="00B60E02">
        <w:rPr>
          <w:sz w:val="22"/>
          <w:szCs w:val="22"/>
        </w:rPr>
        <w:t xml:space="preserve">with </w:t>
      </w:r>
      <w:r w:rsidR="00B60E02" w:rsidRPr="00B60E02">
        <w:rPr>
          <w:sz w:val="22"/>
          <w:szCs w:val="22"/>
        </w:rPr>
        <w:t xml:space="preserve">an </w:t>
      </w:r>
      <w:r w:rsidRPr="00B60E02">
        <w:rPr>
          <w:sz w:val="22"/>
          <w:szCs w:val="22"/>
        </w:rPr>
        <w:t>original maturit</w:t>
      </w:r>
      <w:r w:rsidR="00B60E02" w:rsidRPr="00B60E02">
        <w:rPr>
          <w:sz w:val="22"/>
          <w:szCs w:val="22"/>
        </w:rPr>
        <w:t>y</w:t>
      </w:r>
      <w:r w:rsidRPr="00B60E02">
        <w:rPr>
          <w:sz w:val="22"/>
          <w:szCs w:val="22"/>
        </w:rPr>
        <w:t xml:space="preserve"> of three months or less at the time they are purchased are presented on the financial statements as cash equivalents.  Investments with an initial maturity of more than three months that were not purchased from the pool are reported as investments.</w:t>
      </w:r>
    </w:p>
    <w:p w14:paraId="6B678706" w14:textId="77777777" w:rsidR="004B7398" w:rsidRDefault="004B7398" w:rsidP="00533678">
      <w:pPr>
        <w:widowControl/>
        <w:jc w:val="both"/>
        <w:rPr>
          <w:sz w:val="22"/>
          <w:szCs w:val="22"/>
        </w:rPr>
      </w:pPr>
    </w:p>
    <w:p w14:paraId="11469901" w14:textId="6760108B" w:rsidR="009C7384" w:rsidRPr="005374C3" w:rsidRDefault="009C7384" w:rsidP="00533678">
      <w:pPr>
        <w:widowControl/>
        <w:jc w:val="both"/>
        <w:rPr>
          <w:sz w:val="22"/>
          <w:szCs w:val="22"/>
        </w:rPr>
      </w:pPr>
      <w:r w:rsidRPr="005374C3">
        <w:rPr>
          <w:sz w:val="22"/>
          <w:szCs w:val="22"/>
        </w:rPr>
        <w:t>Investments are reported as assets.  Accordingly, purchases of investments are not recorded as disbursements, and sales of investments are not recorded as receipts.  Gains or losses at the time of sale are recorded as receipts or negative receipts, respectively.</w:t>
      </w:r>
    </w:p>
    <w:p w14:paraId="5C686E9D" w14:textId="77777777" w:rsidR="009C7384" w:rsidRPr="005374C3" w:rsidRDefault="009C7384" w:rsidP="00533678">
      <w:pPr>
        <w:widowControl/>
        <w:jc w:val="both"/>
        <w:rPr>
          <w:sz w:val="22"/>
          <w:szCs w:val="22"/>
        </w:rPr>
      </w:pPr>
    </w:p>
    <w:p w14:paraId="2D68602B" w14:textId="77777777" w:rsidR="00B60E02" w:rsidRPr="00B60E02" w:rsidRDefault="00B60E02" w:rsidP="00533678">
      <w:pPr>
        <w:widowControl/>
        <w:autoSpaceDE/>
        <w:autoSpaceDN/>
        <w:adjustRightInd/>
        <w:jc w:val="both"/>
        <w:rPr>
          <w:sz w:val="22"/>
          <w:szCs w:val="22"/>
          <w:highlight w:val="green"/>
        </w:rPr>
      </w:pPr>
      <w:r w:rsidRPr="00B60E02">
        <w:rPr>
          <w:sz w:val="22"/>
          <w:szCs w:val="22"/>
          <w:highlight w:val="green"/>
        </w:rPr>
        <w:t xml:space="preserve">During 20CY, the </w:t>
      </w:r>
      <w:r w:rsidR="00C65D48">
        <w:rPr>
          <w:sz w:val="22"/>
          <w:szCs w:val="22"/>
          <w:highlight w:val="green"/>
        </w:rPr>
        <w:t>Library</w:t>
      </w:r>
      <w:r w:rsidRPr="00B60E02">
        <w:rPr>
          <w:sz w:val="22"/>
          <w:szCs w:val="22"/>
          <w:highlight w:val="green"/>
        </w:rPr>
        <w:t xml:space="preserve"> invested in nonnegotiable certificates of deposit, repurchase agreements, federal agency securities, a money market mutual fund, and STAR Ohio.  Investments are reported at cost, except for the money market mutual fund and STAR Ohio.  The </w:t>
      </w:r>
      <w:r w:rsidR="00C65D48">
        <w:rPr>
          <w:sz w:val="22"/>
          <w:szCs w:val="22"/>
          <w:highlight w:val="green"/>
        </w:rPr>
        <w:t>Library</w:t>
      </w:r>
      <w:r w:rsidRPr="00B60E02">
        <w:rPr>
          <w:sz w:val="22"/>
          <w:szCs w:val="22"/>
          <w:highlight w:val="green"/>
        </w:rPr>
        <w:t xml:space="preserve">’s money market mutual fund investment is recorded at the amount reported by </w:t>
      </w:r>
      <w:r w:rsidRPr="00B60E02">
        <w:rPr>
          <w:i/>
          <w:sz w:val="22"/>
          <w:szCs w:val="22"/>
          <w:highlight w:val="green"/>
        </w:rPr>
        <w:t xml:space="preserve">[institution’s name] </w:t>
      </w:r>
      <w:r w:rsidRPr="00B60E02">
        <w:rPr>
          <w:sz w:val="22"/>
          <w:szCs w:val="22"/>
          <w:highlight w:val="green"/>
        </w:rPr>
        <w:t xml:space="preserve">on December 31, 20CY.  </w:t>
      </w:r>
    </w:p>
    <w:p w14:paraId="183E1103" w14:textId="77777777" w:rsidR="005374C3" w:rsidRDefault="005374C3" w:rsidP="00533678">
      <w:pPr>
        <w:widowControl/>
        <w:jc w:val="both"/>
        <w:rPr>
          <w:sz w:val="22"/>
          <w:szCs w:val="22"/>
        </w:rPr>
      </w:pPr>
    </w:p>
    <w:p w14:paraId="201F6D31" w14:textId="77777777" w:rsidR="00B60E02" w:rsidRDefault="00B60E02" w:rsidP="00533678">
      <w:pPr>
        <w:widowControl/>
        <w:autoSpaceDE/>
        <w:autoSpaceDN/>
        <w:adjustRightInd/>
        <w:jc w:val="both"/>
        <w:rPr>
          <w:color w:val="252525"/>
          <w:sz w:val="22"/>
          <w:szCs w:val="22"/>
          <w:highlight w:val="green"/>
        </w:rPr>
      </w:pPr>
      <w:proofErr w:type="gramStart"/>
      <w:r w:rsidRPr="00B60E02">
        <w:rPr>
          <w:sz w:val="22"/>
          <w:highlight w:val="green"/>
          <w:lang w:eastAsia="ja-JP"/>
        </w:rPr>
        <w:t>STAR Ohio (the State Treasury Asset Reserve of Ohio),</w:t>
      </w:r>
      <w:proofErr w:type="gramEnd"/>
      <w:r w:rsidRPr="00B60E02">
        <w:rPr>
          <w:sz w:val="22"/>
          <w:highlight w:val="green"/>
          <w:lang w:eastAsia="ja-JP"/>
        </w:rPr>
        <w:t xml:space="preserve"> is an investment pool managed by the State Treasurer’s Office which allows governments within the State to pool their funds for investment purposes.  STAR Ohio is not registered with the SEC as an investment company, </w:t>
      </w:r>
      <w:r w:rsidRPr="00B60E02">
        <w:rPr>
          <w:sz w:val="22"/>
          <w:szCs w:val="22"/>
          <w:highlight w:val="green"/>
        </w:rPr>
        <w:t>but has adopted Governmental Accounting Standards Board</w:t>
      </w:r>
      <w:r w:rsidR="0050650A">
        <w:rPr>
          <w:sz w:val="22"/>
          <w:szCs w:val="22"/>
          <w:highlight w:val="green"/>
        </w:rPr>
        <w:t xml:space="preserve"> (GASB), Statement No. 79, </w:t>
      </w:r>
      <w:r w:rsidRPr="0050650A">
        <w:rPr>
          <w:i/>
          <w:sz w:val="22"/>
          <w:szCs w:val="22"/>
          <w:highlight w:val="green"/>
        </w:rPr>
        <w:t>Certain External Investment Pools and Pool Participants</w:t>
      </w:r>
      <w:r w:rsidR="0050650A">
        <w:rPr>
          <w:sz w:val="22"/>
          <w:highlight w:val="green"/>
          <w:lang w:eastAsia="ja-JP"/>
        </w:rPr>
        <w:t>.</w:t>
      </w:r>
      <w:r w:rsidRPr="00B60E02">
        <w:rPr>
          <w:sz w:val="22"/>
          <w:highlight w:val="green"/>
          <w:lang w:eastAsia="ja-JP"/>
        </w:rPr>
        <w:t xml:space="preserve"> </w:t>
      </w:r>
      <w:r w:rsidRPr="00BA56F7">
        <w:rPr>
          <w:sz w:val="22"/>
          <w:szCs w:val="22"/>
          <w:highlight w:val="green"/>
        </w:rPr>
        <w:t>The Library measures their investment in STAR Ohio at the net asset value (NAV) per share provided by STAR Ohio. The NAV per share is calculated on an amortized cost basis that provides an NAV per share that approximates fair value.</w:t>
      </w:r>
    </w:p>
    <w:p w14:paraId="70ACC71E" w14:textId="77777777" w:rsidR="00860DE6" w:rsidRDefault="00860DE6" w:rsidP="00533678">
      <w:pPr>
        <w:widowControl/>
        <w:autoSpaceDE/>
        <w:autoSpaceDN/>
        <w:adjustRightInd/>
        <w:jc w:val="both"/>
        <w:rPr>
          <w:color w:val="252525"/>
          <w:sz w:val="22"/>
          <w:szCs w:val="22"/>
          <w:highlight w:val="green"/>
        </w:rPr>
      </w:pPr>
    </w:p>
    <w:p w14:paraId="2F5FAD54" w14:textId="75460A35" w:rsidR="00860DE6" w:rsidRPr="009946C7" w:rsidRDefault="004329C6" w:rsidP="00533678">
      <w:pPr>
        <w:widowControl/>
        <w:jc w:val="both"/>
        <w:rPr>
          <w:sz w:val="22"/>
          <w:szCs w:val="22"/>
        </w:rPr>
      </w:pPr>
      <w:r w:rsidRPr="00E477F4">
        <w:rPr>
          <w:sz w:val="22"/>
          <w:szCs w:val="22"/>
          <w:highlight w:val="cyan"/>
        </w:rPr>
        <w:t xml:space="preserve">STAR Ohio reserves the right to limit </w:t>
      </w:r>
      <w:r>
        <w:rPr>
          <w:sz w:val="22"/>
          <w:szCs w:val="22"/>
          <w:highlight w:val="cyan"/>
        </w:rPr>
        <w:t>participant</w:t>
      </w:r>
      <w:r w:rsidRPr="00E477F4">
        <w:rPr>
          <w:sz w:val="22"/>
          <w:szCs w:val="22"/>
          <w:highlight w:val="cyan"/>
        </w:rPr>
        <w:t xml:space="preserve"> transaction</w:t>
      </w:r>
      <w:r>
        <w:rPr>
          <w:sz w:val="22"/>
          <w:szCs w:val="22"/>
          <w:highlight w:val="cyan"/>
        </w:rPr>
        <w:t>s</w:t>
      </w:r>
      <w:r w:rsidRPr="00E477F4">
        <w:rPr>
          <w:sz w:val="22"/>
          <w:szCs w:val="22"/>
          <w:highlight w:val="cyan"/>
        </w:rPr>
        <w:t xml:space="preserve"> to $250 million per day.  Transactions in </w:t>
      </w:r>
      <w:proofErr w:type="gramStart"/>
      <w:r w:rsidRPr="00E477F4">
        <w:rPr>
          <w:sz w:val="22"/>
          <w:szCs w:val="22"/>
          <w:highlight w:val="cyan"/>
        </w:rPr>
        <w:t>all of</w:t>
      </w:r>
      <w:proofErr w:type="gramEnd"/>
      <w:r w:rsidRPr="00E477F4">
        <w:rPr>
          <w:sz w:val="22"/>
          <w:szCs w:val="22"/>
          <w:highlight w:val="cyan"/>
        </w:rPr>
        <w:t xml:space="preserve"> a participant’s accounts will be combined for this purpose.  Twenty-four hours advance notice to STAR Ohio is appreciated for purchases or redemptions of $100 million or more.  For fiscal year 2024, there were no limitations or restrictions on any participant withdrawals due to redemption notice periods, liquidity fees, or redemption gates.</w:t>
      </w:r>
    </w:p>
    <w:p w14:paraId="04894ADB" w14:textId="77777777" w:rsidR="004116DC" w:rsidRDefault="004116DC" w:rsidP="00533678">
      <w:pPr>
        <w:widowControl/>
        <w:jc w:val="both"/>
        <w:rPr>
          <w:sz w:val="22"/>
          <w:szCs w:val="22"/>
        </w:rPr>
      </w:pPr>
    </w:p>
    <w:p w14:paraId="22097725" w14:textId="35DB6916" w:rsidR="00B60E02" w:rsidRPr="00B60E02" w:rsidRDefault="00B60E02" w:rsidP="00533678">
      <w:pPr>
        <w:widowControl/>
        <w:autoSpaceDE/>
        <w:autoSpaceDN/>
        <w:adjustRightInd/>
        <w:jc w:val="both"/>
        <w:rPr>
          <w:sz w:val="22"/>
          <w:szCs w:val="22"/>
        </w:rPr>
      </w:pPr>
      <w:r w:rsidRPr="00B60E02">
        <w:rPr>
          <w:sz w:val="22"/>
          <w:szCs w:val="22"/>
          <w:highlight w:val="green"/>
        </w:rPr>
        <w:t xml:space="preserve">Interest earnings are allocated to </w:t>
      </w:r>
      <w:r>
        <w:rPr>
          <w:sz w:val="22"/>
          <w:szCs w:val="22"/>
          <w:highlight w:val="green"/>
        </w:rPr>
        <w:t>Library</w:t>
      </w:r>
      <w:r w:rsidRPr="00B60E02">
        <w:rPr>
          <w:sz w:val="22"/>
          <w:szCs w:val="22"/>
          <w:highlight w:val="green"/>
        </w:rPr>
        <w:t xml:space="preserve"> funds according to State statutes, grant requirements, or debt related restrictions.  Interest receipts credited to the General Fund during 20CY was $</w:t>
      </w:r>
      <w:proofErr w:type="spellStart"/>
      <w:r w:rsidR="009B5676">
        <w:rPr>
          <w:sz w:val="22"/>
          <w:szCs w:val="22"/>
          <w:highlight w:val="green"/>
        </w:rPr>
        <w:t>xx,xxx</w:t>
      </w:r>
      <w:proofErr w:type="spellEnd"/>
      <w:r w:rsidRPr="00B60E02">
        <w:rPr>
          <w:sz w:val="22"/>
          <w:szCs w:val="22"/>
          <w:highlight w:val="green"/>
        </w:rPr>
        <w:t xml:space="preserve"> which includes $</w:t>
      </w:r>
      <w:proofErr w:type="spellStart"/>
      <w:r w:rsidR="009B5676">
        <w:rPr>
          <w:sz w:val="22"/>
          <w:szCs w:val="22"/>
          <w:highlight w:val="green"/>
          <w:u w:val="single"/>
        </w:rPr>
        <w:t>xx,xxx</w:t>
      </w:r>
      <w:proofErr w:type="spellEnd"/>
      <w:r w:rsidR="009B5676">
        <w:rPr>
          <w:sz w:val="22"/>
          <w:szCs w:val="22"/>
          <w:highlight w:val="green"/>
          <w:u w:val="single"/>
        </w:rPr>
        <w:t xml:space="preserve"> </w:t>
      </w:r>
      <w:r w:rsidRPr="00B60E02">
        <w:rPr>
          <w:sz w:val="22"/>
          <w:szCs w:val="22"/>
          <w:highlight w:val="green"/>
        </w:rPr>
        <w:t xml:space="preserve">assigned from other </w:t>
      </w:r>
      <w:r>
        <w:rPr>
          <w:sz w:val="22"/>
          <w:szCs w:val="22"/>
          <w:highlight w:val="green"/>
        </w:rPr>
        <w:t>Library</w:t>
      </w:r>
      <w:r w:rsidRPr="00B60E02">
        <w:rPr>
          <w:sz w:val="22"/>
          <w:szCs w:val="22"/>
          <w:highlight w:val="green"/>
        </w:rPr>
        <w:t xml:space="preserve"> funds.</w:t>
      </w:r>
    </w:p>
    <w:p w14:paraId="602C9A22" w14:textId="77777777" w:rsidR="00B60E02" w:rsidRPr="00B60E02" w:rsidRDefault="00B60E02" w:rsidP="00533678">
      <w:pPr>
        <w:widowControl/>
        <w:autoSpaceDE/>
        <w:autoSpaceDN/>
        <w:adjustRightInd/>
        <w:jc w:val="both"/>
        <w:rPr>
          <w:sz w:val="22"/>
          <w:szCs w:val="22"/>
        </w:rPr>
      </w:pPr>
    </w:p>
    <w:p w14:paraId="2A22066F" w14:textId="77777777" w:rsidR="009E71CD" w:rsidRPr="005374C3" w:rsidRDefault="009E71CD" w:rsidP="00533678">
      <w:pPr>
        <w:widowControl/>
        <w:jc w:val="both"/>
        <w:rPr>
          <w:b/>
          <w:i/>
          <w:sz w:val="22"/>
          <w:szCs w:val="22"/>
        </w:rPr>
      </w:pPr>
      <w:r w:rsidRPr="005374C3">
        <w:rPr>
          <w:b/>
          <w:i/>
          <w:sz w:val="22"/>
          <w:szCs w:val="22"/>
        </w:rPr>
        <w:t>Restricted Assets</w:t>
      </w:r>
    </w:p>
    <w:p w14:paraId="765DA25E" w14:textId="77777777" w:rsidR="009E71CD" w:rsidRPr="005374C3" w:rsidRDefault="009E71CD" w:rsidP="00533678">
      <w:pPr>
        <w:widowControl/>
        <w:jc w:val="both"/>
        <w:rPr>
          <w:sz w:val="22"/>
          <w:szCs w:val="22"/>
        </w:rPr>
      </w:pPr>
    </w:p>
    <w:p w14:paraId="012AEC62" w14:textId="77777777" w:rsidR="00ED3B48" w:rsidRPr="00ED3B48" w:rsidRDefault="00ED3B48" w:rsidP="00533678">
      <w:pPr>
        <w:widowControl/>
        <w:autoSpaceDE/>
        <w:autoSpaceDN/>
        <w:adjustRightInd/>
        <w:jc w:val="both"/>
        <w:rPr>
          <w:i/>
          <w:sz w:val="22"/>
          <w:szCs w:val="22"/>
        </w:rPr>
      </w:pPr>
      <w:r w:rsidRPr="00ED3B48">
        <w:rPr>
          <w:sz w:val="22"/>
          <w:szCs w:val="22"/>
        </w:rPr>
        <w:t xml:space="preserve">Assets are reported as restricted when limitations on their use change the nature or normal understanding of the availability of the asset.  Such constraints are either externally imposed by creditors, contributors, grantors, or laws of other governments, or are imposed by law through constitutional provisions or enabling legislation.  </w:t>
      </w:r>
      <w:r w:rsidRPr="00ED3B48">
        <w:rPr>
          <w:sz w:val="22"/>
          <w:szCs w:val="22"/>
          <w:highlight w:val="green"/>
        </w:rPr>
        <w:t xml:space="preserve">Unclaimed monies that are required to be held for five years before they may be utilized by the </w:t>
      </w:r>
      <w:r>
        <w:rPr>
          <w:sz w:val="22"/>
          <w:szCs w:val="22"/>
          <w:highlight w:val="green"/>
        </w:rPr>
        <w:t>Library are r</w:t>
      </w:r>
      <w:r w:rsidRPr="00ED3B48">
        <w:rPr>
          <w:sz w:val="22"/>
          <w:szCs w:val="22"/>
          <w:highlight w:val="green"/>
        </w:rPr>
        <w:t>eported as restricted</w:t>
      </w:r>
      <w:r w:rsidR="003407B0">
        <w:rPr>
          <w:sz w:val="22"/>
          <w:szCs w:val="22"/>
          <w:highlight w:val="green"/>
        </w:rPr>
        <w:t>.</w:t>
      </w:r>
      <w:r w:rsidRPr="00ED3B48">
        <w:rPr>
          <w:sz w:val="22"/>
          <w:szCs w:val="22"/>
          <w:highlight w:val="green"/>
        </w:rPr>
        <w:t xml:space="preserve"> </w:t>
      </w:r>
      <w:r w:rsidRPr="003407B0">
        <w:rPr>
          <w:sz w:val="22"/>
          <w:szCs w:val="22"/>
          <w:highlight w:val="yellow"/>
        </w:rPr>
        <w:t xml:space="preserve"> (Modify as needed.)</w:t>
      </w:r>
    </w:p>
    <w:p w14:paraId="66BB255F" w14:textId="77777777" w:rsidR="00BB0F02" w:rsidRDefault="00BB0F02" w:rsidP="00533678">
      <w:pPr>
        <w:widowControl/>
        <w:jc w:val="both"/>
        <w:rPr>
          <w:b/>
          <w:i/>
          <w:sz w:val="22"/>
          <w:szCs w:val="22"/>
        </w:rPr>
      </w:pPr>
    </w:p>
    <w:p w14:paraId="34958914" w14:textId="77777777" w:rsidR="009E71CD" w:rsidRPr="005374C3" w:rsidRDefault="009E71CD" w:rsidP="00533678">
      <w:pPr>
        <w:widowControl/>
        <w:jc w:val="both"/>
        <w:rPr>
          <w:b/>
          <w:i/>
          <w:sz w:val="22"/>
          <w:szCs w:val="22"/>
        </w:rPr>
      </w:pPr>
      <w:r w:rsidRPr="005374C3">
        <w:rPr>
          <w:b/>
          <w:i/>
          <w:sz w:val="22"/>
          <w:szCs w:val="22"/>
        </w:rPr>
        <w:t>Inventory and Prepaid Items</w:t>
      </w:r>
    </w:p>
    <w:p w14:paraId="67B881DB" w14:textId="77777777" w:rsidR="009E71CD" w:rsidRPr="005374C3" w:rsidRDefault="009E71CD" w:rsidP="00533678">
      <w:pPr>
        <w:widowControl/>
        <w:jc w:val="both"/>
        <w:rPr>
          <w:sz w:val="22"/>
          <w:szCs w:val="22"/>
        </w:rPr>
      </w:pPr>
    </w:p>
    <w:p w14:paraId="2C5A943D" w14:textId="77777777" w:rsidR="00707D6D" w:rsidRPr="005374C3" w:rsidRDefault="009E71CD" w:rsidP="00533678">
      <w:pPr>
        <w:widowControl/>
        <w:jc w:val="both"/>
        <w:rPr>
          <w:sz w:val="22"/>
          <w:szCs w:val="22"/>
        </w:rPr>
      </w:pPr>
      <w:r w:rsidRPr="005374C3">
        <w:rPr>
          <w:sz w:val="22"/>
          <w:szCs w:val="22"/>
        </w:rPr>
        <w:t>The Library reports disbursements for inventories and prepaid items when paid.  These items are not reflected as assets in the accompanying financial statements.</w:t>
      </w:r>
    </w:p>
    <w:p w14:paraId="29F5AE4B" w14:textId="77777777" w:rsidR="00707D6D" w:rsidRPr="005374C3" w:rsidRDefault="00707D6D" w:rsidP="00533678">
      <w:pPr>
        <w:widowControl/>
        <w:jc w:val="both"/>
        <w:rPr>
          <w:sz w:val="22"/>
          <w:szCs w:val="22"/>
        </w:rPr>
      </w:pPr>
    </w:p>
    <w:p w14:paraId="512C4DAF" w14:textId="77777777" w:rsidR="009E71CD" w:rsidRPr="00ED3B48" w:rsidRDefault="00707D6D" w:rsidP="00533678">
      <w:pPr>
        <w:widowControl/>
        <w:jc w:val="both"/>
        <w:rPr>
          <w:sz w:val="22"/>
          <w:szCs w:val="22"/>
        </w:rPr>
      </w:pPr>
      <w:r w:rsidRPr="0050650A">
        <w:rPr>
          <w:sz w:val="22"/>
          <w:szCs w:val="22"/>
          <w:highlight w:val="green"/>
        </w:rPr>
        <w:t>Inventories resulting from cash transactions are presented at cost on a first-in, first-out basis and are reported as disbursements when used.  Prepaid items are reported as disbursements when consumed.</w:t>
      </w:r>
      <w:r w:rsidR="009E71CD" w:rsidRPr="00ED3B48">
        <w:rPr>
          <w:i/>
          <w:sz w:val="22"/>
          <w:szCs w:val="22"/>
          <w:highlight w:val="green"/>
        </w:rPr>
        <w:t xml:space="preserve">  </w:t>
      </w:r>
      <w:r w:rsidR="009E71CD" w:rsidRPr="003407B0">
        <w:rPr>
          <w:i/>
          <w:sz w:val="22"/>
          <w:szCs w:val="22"/>
          <w:highlight w:val="yellow"/>
        </w:rPr>
        <w:t xml:space="preserve">(Modify </w:t>
      </w:r>
      <w:r w:rsidRPr="003407B0">
        <w:rPr>
          <w:i/>
          <w:sz w:val="22"/>
          <w:szCs w:val="22"/>
          <w:highlight w:val="yellow"/>
        </w:rPr>
        <w:t>as needed</w:t>
      </w:r>
      <w:r w:rsidR="009E71CD" w:rsidRPr="003407B0">
        <w:rPr>
          <w:i/>
          <w:sz w:val="22"/>
          <w:szCs w:val="22"/>
          <w:highlight w:val="yellow"/>
        </w:rPr>
        <w:t>.)</w:t>
      </w:r>
    </w:p>
    <w:p w14:paraId="2BAD15A2" w14:textId="77777777" w:rsidR="009E71CD" w:rsidRDefault="009E71CD" w:rsidP="00533678">
      <w:pPr>
        <w:widowControl/>
        <w:jc w:val="both"/>
        <w:rPr>
          <w:sz w:val="22"/>
          <w:szCs w:val="22"/>
        </w:rPr>
      </w:pPr>
    </w:p>
    <w:p w14:paraId="2A23A046" w14:textId="77777777" w:rsidR="00733446" w:rsidRPr="005374C3" w:rsidRDefault="00733446" w:rsidP="00533678">
      <w:pPr>
        <w:widowControl/>
        <w:jc w:val="both"/>
        <w:rPr>
          <w:sz w:val="22"/>
          <w:szCs w:val="22"/>
        </w:rPr>
      </w:pPr>
    </w:p>
    <w:p w14:paraId="33C86EA7" w14:textId="77777777" w:rsidR="009E71CD" w:rsidRPr="005374C3" w:rsidRDefault="009E71CD" w:rsidP="00533678">
      <w:pPr>
        <w:widowControl/>
        <w:jc w:val="both"/>
        <w:rPr>
          <w:b/>
          <w:i/>
          <w:sz w:val="22"/>
          <w:szCs w:val="22"/>
        </w:rPr>
      </w:pPr>
      <w:r w:rsidRPr="005374C3">
        <w:rPr>
          <w:b/>
          <w:i/>
          <w:sz w:val="22"/>
          <w:szCs w:val="22"/>
        </w:rPr>
        <w:lastRenderedPageBreak/>
        <w:t>Capital Assets</w:t>
      </w:r>
    </w:p>
    <w:p w14:paraId="2B49D29D" w14:textId="77777777" w:rsidR="009E71CD" w:rsidRPr="005374C3" w:rsidRDefault="009E71CD" w:rsidP="00533678">
      <w:pPr>
        <w:widowControl/>
        <w:jc w:val="both"/>
        <w:rPr>
          <w:sz w:val="22"/>
          <w:szCs w:val="22"/>
        </w:rPr>
      </w:pPr>
    </w:p>
    <w:p w14:paraId="4A2191A0" w14:textId="77777777" w:rsidR="00707D6D" w:rsidRDefault="009E71CD" w:rsidP="00533678">
      <w:pPr>
        <w:widowControl/>
        <w:jc w:val="both"/>
        <w:rPr>
          <w:sz w:val="22"/>
          <w:szCs w:val="22"/>
        </w:rPr>
      </w:pPr>
      <w:r w:rsidRPr="005374C3">
        <w:rPr>
          <w:sz w:val="22"/>
          <w:szCs w:val="22"/>
        </w:rPr>
        <w:t>Acquisitions of property, plant and equipment are recorded as disbursements when paid.  These items are not reflected as assets in the ac</w:t>
      </w:r>
      <w:r w:rsidR="00707D6D" w:rsidRPr="005374C3">
        <w:rPr>
          <w:sz w:val="22"/>
          <w:szCs w:val="22"/>
        </w:rPr>
        <w:t>companying financial statements.</w:t>
      </w:r>
    </w:p>
    <w:p w14:paraId="04DC70A2" w14:textId="77777777" w:rsidR="00ED3B48" w:rsidRPr="005374C3" w:rsidRDefault="00ED3B48" w:rsidP="00533678">
      <w:pPr>
        <w:widowControl/>
        <w:jc w:val="both"/>
        <w:rPr>
          <w:sz w:val="22"/>
          <w:szCs w:val="22"/>
        </w:rPr>
      </w:pPr>
    </w:p>
    <w:p w14:paraId="17D9B199" w14:textId="77777777" w:rsidR="000513DA" w:rsidRPr="00ED3B48" w:rsidRDefault="00707D6D" w:rsidP="00533678">
      <w:pPr>
        <w:widowControl/>
        <w:jc w:val="both"/>
        <w:rPr>
          <w:sz w:val="22"/>
          <w:szCs w:val="22"/>
          <w:highlight w:val="green"/>
        </w:rPr>
      </w:pPr>
      <w:r w:rsidRPr="0050650A">
        <w:rPr>
          <w:sz w:val="22"/>
          <w:szCs w:val="22"/>
          <w:highlight w:val="yellow"/>
        </w:rPr>
        <w:t>(Sample disclosure if the Library cho</w:t>
      </w:r>
      <w:r w:rsidR="005374C3" w:rsidRPr="0050650A">
        <w:rPr>
          <w:sz w:val="22"/>
          <w:szCs w:val="22"/>
          <w:highlight w:val="yellow"/>
        </w:rPr>
        <w:t>o</w:t>
      </w:r>
      <w:r w:rsidRPr="0050650A">
        <w:rPr>
          <w:sz w:val="22"/>
          <w:szCs w:val="22"/>
          <w:highlight w:val="yellow"/>
        </w:rPr>
        <w:t>se</w:t>
      </w:r>
      <w:r w:rsidR="005374C3" w:rsidRPr="0050650A">
        <w:rPr>
          <w:sz w:val="22"/>
          <w:szCs w:val="22"/>
          <w:highlight w:val="yellow"/>
        </w:rPr>
        <w:t>s</w:t>
      </w:r>
      <w:r w:rsidRPr="0050650A">
        <w:rPr>
          <w:sz w:val="22"/>
          <w:szCs w:val="22"/>
          <w:highlight w:val="yellow"/>
        </w:rPr>
        <w:t xml:space="preserve"> to </w:t>
      </w:r>
      <w:r w:rsidR="009E71CD" w:rsidRPr="0050650A">
        <w:rPr>
          <w:sz w:val="22"/>
          <w:szCs w:val="22"/>
          <w:highlight w:val="yellow"/>
        </w:rPr>
        <w:t>re</w:t>
      </w:r>
      <w:r w:rsidR="00B277E4" w:rsidRPr="0050650A">
        <w:rPr>
          <w:sz w:val="22"/>
          <w:szCs w:val="22"/>
          <w:highlight w:val="yellow"/>
        </w:rPr>
        <w:t>port</w:t>
      </w:r>
      <w:r w:rsidR="009E71CD" w:rsidRPr="0050650A">
        <w:rPr>
          <w:sz w:val="22"/>
          <w:szCs w:val="22"/>
          <w:highlight w:val="yellow"/>
        </w:rPr>
        <w:t xml:space="preserve"> and depreciate capital assets </w:t>
      </w:r>
      <w:r w:rsidR="001F4B0B" w:rsidRPr="0050650A">
        <w:rPr>
          <w:sz w:val="22"/>
          <w:szCs w:val="22"/>
          <w:highlight w:val="yellow"/>
        </w:rPr>
        <w:t>aris</w:t>
      </w:r>
      <w:r w:rsidR="009E71CD" w:rsidRPr="0050650A">
        <w:rPr>
          <w:sz w:val="22"/>
          <w:szCs w:val="22"/>
          <w:highlight w:val="yellow"/>
        </w:rPr>
        <w:t>ing from cash transactions.)</w:t>
      </w:r>
      <w:r w:rsidR="001F4B0B" w:rsidRPr="0050650A">
        <w:rPr>
          <w:sz w:val="22"/>
          <w:szCs w:val="22"/>
          <w:highlight w:val="yellow"/>
        </w:rPr>
        <w:t xml:space="preserve"> </w:t>
      </w:r>
      <w:r w:rsidR="001F4B0B" w:rsidRPr="00ED3B48">
        <w:rPr>
          <w:sz w:val="22"/>
          <w:szCs w:val="22"/>
          <w:highlight w:val="green"/>
        </w:rPr>
        <w:t xml:space="preserve"> The Library’s general capital assets are capital assets which are associated with and generally arise from governmental activities.  They result from disbursements, generally from the governmental funds.  General capital assets are reported in the governmental </w:t>
      </w:r>
      <w:proofErr w:type="gramStart"/>
      <w:r w:rsidR="001F4B0B" w:rsidRPr="00ED3B48">
        <w:rPr>
          <w:sz w:val="22"/>
          <w:szCs w:val="22"/>
          <w:highlight w:val="green"/>
        </w:rPr>
        <w:t>activities</w:t>
      </w:r>
      <w:proofErr w:type="gramEnd"/>
      <w:r w:rsidR="001F4B0B" w:rsidRPr="00ED3B48">
        <w:rPr>
          <w:sz w:val="22"/>
          <w:szCs w:val="22"/>
          <w:highlight w:val="green"/>
        </w:rPr>
        <w:t xml:space="preserve"> column of the government-wide statement of net </w:t>
      </w:r>
      <w:r w:rsidR="00F15267" w:rsidRPr="00ED3B48">
        <w:rPr>
          <w:sz w:val="22"/>
          <w:szCs w:val="22"/>
          <w:highlight w:val="green"/>
        </w:rPr>
        <w:t>position</w:t>
      </w:r>
      <w:r w:rsidR="001F4B0B" w:rsidRPr="00ED3B48">
        <w:rPr>
          <w:sz w:val="22"/>
          <w:szCs w:val="22"/>
          <w:highlight w:val="green"/>
        </w:rPr>
        <w:t xml:space="preserve"> but are not reported in the fund financial statements.</w:t>
      </w:r>
    </w:p>
    <w:p w14:paraId="157EFDA5" w14:textId="77777777" w:rsidR="000513DA" w:rsidRPr="00ED3B48" w:rsidRDefault="000513DA" w:rsidP="00533678">
      <w:pPr>
        <w:widowControl/>
        <w:jc w:val="both"/>
        <w:rPr>
          <w:sz w:val="22"/>
          <w:szCs w:val="22"/>
          <w:highlight w:val="green"/>
        </w:rPr>
      </w:pPr>
    </w:p>
    <w:p w14:paraId="43D56C39" w14:textId="77777777" w:rsidR="002708C9" w:rsidRPr="00ED3B48" w:rsidRDefault="000513DA" w:rsidP="00533678">
      <w:pPr>
        <w:widowControl/>
        <w:jc w:val="both"/>
        <w:rPr>
          <w:sz w:val="22"/>
          <w:szCs w:val="22"/>
          <w:highlight w:val="green"/>
        </w:rPr>
      </w:pPr>
      <w:r w:rsidRPr="00ED3B48">
        <w:rPr>
          <w:sz w:val="22"/>
          <w:szCs w:val="22"/>
          <w:highlight w:val="green"/>
        </w:rPr>
        <w:t>All capital assets are capitalized at cost (or estimated historical cost) and updated for additions and reductions during the year.  The Lib</w:t>
      </w:r>
      <w:r w:rsidR="002708C9" w:rsidRPr="00ED3B48">
        <w:rPr>
          <w:sz w:val="22"/>
          <w:szCs w:val="22"/>
          <w:highlight w:val="green"/>
        </w:rPr>
        <w:t>rary maintains a capitalization threshold of $__.  Improvements are capitalized; the costs of normal maintenance and repairs that do not add to the value of the asset or materially extend and asset’s life are not.</w:t>
      </w:r>
    </w:p>
    <w:p w14:paraId="6DA592E8" w14:textId="77777777" w:rsidR="00AA623B" w:rsidRDefault="00AA623B" w:rsidP="00533678">
      <w:pPr>
        <w:widowControl/>
        <w:jc w:val="both"/>
        <w:rPr>
          <w:sz w:val="22"/>
          <w:szCs w:val="22"/>
          <w:highlight w:val="green"/>
        </w:rPr>
      </w:pPr>
    </w:p>
    <w:p w14:paraId="0401C413" w14:textId="77777777" w:rsidR="002708C9" w:rsidRPr="00ED3B48" w:rsidRDefault="002708C9" w:rsidP="00533678">
      <w:pPr>
        <w:widowControl/>
        <w:jc w:val="both"/>
        <w:rPr>
          <w:sz w:val="22"/>
          <w:szCs w:val="22"/>
          <w:highlight w:val="green"/>
        </w:rPr>
      </w:pPr>
      <w:r w:rsidRPr="00ED3B48">
        <w:rPr>
          <w:sz w:val="22"/>
          <w:szCs w:val="22"/>
          <w:highlight w:val="green"/>
        </w:rPr>
        <w:t>All capital assets are depreciated except for land and construction in process.  Improvements are depreciated over the remaining useful lives of the related capital assets.  Depreciation is computed using the straight-line method over the following useful lives:</w:t>
      </w:r>
    </w:p>
    <w:p w14:paraId="52CBAEB2" w14:textId="77777777" w:rsidR="0061345C" w:rsidRPr="00ED3B48" w:rsidRDefault="0061345C" w:rsidP="00533678">
      <w:pPr>
        <w:widowControl/>
        <w:jc w:val="center"/>
        <w:rPr>
          <w:sz w:val="22"/>
          <w:szCs w:val="22"/>
          <w:highlight w:val="green"/>
        </w:rPr>
      </w:pPr>
    </w:p>
    <w:bookmarkStart w:id="2" w:name="_MON_1349159280"/>
    <w:bookmarkStart w:id="3" w:name="_MON_1349605768"/>
    <w:bookmarkStart w:id="4" w:name="_MON_1349611379"/>
    <w:bookmarkStart w:id="5" w:name="_MON_1350290333"/>
    <w:bookmarkStart w:id="6" w:name="_MON_1352702976"/>
    <w:bookmarkStart w:id="7" w:name="_MON_1352703010"/>
    <w:bookmarkStart w:id="8" w:name="_MON_1387625240"/>
    <w:bookmarkStart w:id="9" w:name="_MON_1349158319"/>
    <w:bookmarkStart w:id="10" w:name="_MON_1349158675"/>
    <w:bookmarkStart w:id="11" w:name="_MON_1349158864"/>
    <w:bookmarkStart w:id="12" w:name="_MON_1349159018"/>
    <w:bookmarkStart w:id="13" w:name="_MON_1349159125"/>
    <w:bookmarkEnd w:id="2"/>
    <w:bookmarkEnd w:id="3"/>
    <w:bookmarkEnd w:id="4"/>
    <w:bookmarkEnd w:id="5"/>
    <w:bookmarkEnd w:id="6"/>
    <w:bookmarkEnd w:id="7"/>
    <w:bookmarkEnd w:id="8"/>
    <w:bookmarkEnd w:id="9"/>
    <w:bookmarkEnd w:id="10"/>
    <w:bookmarkEnd w:id="11"/>
    <w:bookmarkEnd w:id="12"/>
    <w:bookmarkEnd w:id="13"/>
    <w:bookmarkStart w:id="14" w:name="_MON_1349159198"/>
    <w:bookmarkEnd w:id="14"/>
    <w:p w14:paraId="6AF9B96E" w14:textId="23E96F28" w:rsidR="009E71CD" w:rsidRPr="00ED3B48" w:rsidRDefault="00AD2932" w:rsidP="00533678">
      <w:pPr>
        <w:widowControl/>
        <w:jc w:val="center"/>
        <w:rPr>
          <w:sz w:val="22"/>
          <w:szCs w:val="22"/>
        </w:rPr>
      </w:pPr>
      <w:r w:rsidRPr="00ED3B48">
        <w:rPr>
          <w:sz w:val="22"/>
          <w:szCs w:val="22"/>
          <w:highlight w:val="green"/>
        </w:rPr>
        <w:object w:dxaOrig="5806" w:dyaOrig="2350" w14:anchorId="2F9A1B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9.2pt;height:118.2pt" o:ole="">
            <v:imagedata r:id="rId13" o:title=""/>
          </v:shape>
          <o:OLEObject Type="Embed" ProgID="Excel.Sheet.12" ShapeID="_x0000_i1025" DrawAspect="Content" ObjectID="_1798480927" r:id="rId14"/>
        </w:object>
      </w:r>
    </w:p>
    <w:p w14:paraId="094B97D7" w14:textId="77777777" w:rsidR="009E71CD" w:rsidRPr="005374C3" w:rsidRDefault="009E71CD" w:rsidP="00533678">
      <w:pPr>
        <w:widowControl/>
        <w:jc w:val="both"/>
        <w:rPr>
          <w:sz w:val="22"/>
          <w:szCs w:val="22"/>
          <w:u w:val="single"/>
        </w:rPr>
      </w:pPr>
    </w:p>
    <w:p w14:paraId="340CD5B8" w14:textId="77777777" w:rsidR="00D02870" w:rsidRPr="00D02870" w:rsidRDefault="00D02870" w:rsidP="00533678">
      <w:pPr>
        <w:widowControl/>
        <w:autoSpaceDE/>
        <w:autoSpaceDN/>
        <w:adjustRightInd/>
        <w:jc w:val="both"/>
        <w:rPr>
          <w:b/>
          <w:i/>
          <w:sz w:val="22"/>
          <w:szCs w:val="22"/>
        </w:rPr>
      </w:pPr>
      <w:r w:rsidRPr="00D02870">
        <w:rPr>
          <w:b/>
          <w:i/>
          <w:sz w:val="22"/>
          <w:szCs w:val="22"/>
        </w:rPr>
        <w:t>Interfund Receivables/Payables</w:t>
      </w:r>
    </w:p>
    <w:p w14:paraId="6B6FB9AD" w14:textId="77777777" w:rsidR="00D02870" w:rsidRPr="00D02870" w:rsidRDefault="00D02870" w:rsidP="00533678">
      <w:pPr>
        <w:widowControl/>
        <w:autoSpaceDE/>
        <w:autoSpaceDN/>
        <w:adjustRightInd/>
        <w:jc w:val="both"/>
        <w:rPr>
          <w:sz w:val="22"/>
          <w:szCs w:val="22"/>
        </w:rPr>
      </w:pPr>
    </w:p>
    <w:p w14:paraId="383306C7" w14:textId="77777777" w:rsidR="00D02870" w:rsidRPr="00D02870" w:rsidRDefault="00D02870" w:rsidP="00533678">
      <w:pPr>
        <w:widowControl/>
        <w:autoSpaceDE/>
        <w:autoSpaceDN/>
        <w:adjustRightInd/>
        <w:jc w:val="both"/>
        <w:rPr>
          <w:sz w:val="22"/>
          <w:szCs w:val="22"/>
        </w:rPr>
      </w:pPr>
      <w:r w:rsidRPr="00D02870">
        <w:rPr>
          <w:sz w:val="22"/>
          <w:szCs w:val="22"/>
          <w:highlight w:val="green"/>
        </w:rPr>
        <w:t>The</w:t>
      </w:r>
      <w:r w:rsidRPr="004F66D8">
        <w:rPr>
          <w:sz w:val="22"/>
          <w:szCs w:val="22"/>
          <w:highlight w:val="green"/>
        </w:rPr>
        <w:t xml:space="preserve"> </w:t>
      </w:r>
      <w:r w:rsidR="004935C7" w:rsidRPr="004F66D8">
        <w:rPr>
          <w:sz w:val="22"/>
          <w:szCs w:val="22"/>
          <w:highlight w:val="green"/>
        </w:rPr>
        <w:t xml:space="preserve">Library </w:t>
      </w:r>
      <w:r w:rsidRPr="004F66D8">
        <w:rPr>
          <w:sz w:val="22"/>
          <w:szCs w:val="22"/>
          <w:highlight w:val="green"/>
        </w:rPr>
        <w:t>re</w:t>
      </w:r>
      <w:r w:rsidRPr="00D02870">
        <w:rPr>
          <w:sz w:val="22"/>
          <w:szCs w:val="22"/>
          <w:highlight w:val="green"/>
        </w:rPr>
        <w:t>ports advances-in and advances-out for interfund loans.  These items are not reflected as assets and liabilities in the accompanying financial statements.</w:t>
      </w:r>
      <w:r w:rsidRPr="00D02870">
        <w:rPr>
          <w:sz w:val="22"/>
          <w:szCs w:val="22"/>
        </w:rPr>
        <w:t xml:space="preserve"> </w:t>
      </w:r>
    </w:p>
    <w:p w14:paraId="1897CD8C" w14:textId="77777777" w:rsidR="00D02870" w:rsidRPr="00D02870" w:rsidRDefault="00D02870" w:rsidP="00533678">
      <w:pPr>
        <w:widowControl/>
        <w:autoSpaceDE/>
        <w:autoSpaceDN/>
        <w:adjustRightInd/>
        <w:jc w:val="both"/>
        <w:rPr>
          <w:sz w:val="22"/>
          <w:szCs w:val="22"/>
        </w:rPr>
      </w:pPr>
    </w:p>
    <w:p w14:paraId="12B531C1" w14:textId="77777777" w:rsidR="00D02870" w:rsidRPr="00D02870" w:rsidRDefault="00D02870" w:rsidP="00533678">
      <w:pPr>
        <w:widowControl/>
        <w:autoSpaceDE/>
        <w:autoSpaceDN/>
        <w:adjustRightInd/>
        <w:jc w:val="both"/>
        <w:rPr>
          <w:sz w:val="22"/>
          <w:szCs w:val="22"/>
        </w:rPr>
      </w:pPr>
      <w:r w:rsidRPr="00D02870">
        <w:rPr>
          <w:sz w:val="22"/>
          <w:szCs w:val="22"/>
          <w:highlight w:val="green"/>
        </w:rPr>
        <w:t>The fund financial statements report outstanding interfund loans as interfund receivables/payables.  Interfund loans which do not represent available expendable resources</w:t>
      </w:r>
      <w:r w:rsidR="0050650A">
        <w:rPr>
          <w:sz w:val="22"/>
          <w:szCs w:val="22"/>
          <w:highlight w:val="green"/>
        </w:rPr>
        <w:t xml:space="preserve"> are classified as nonspendable</w:t>
      </w:r>
      <w:r w:rsidRPr="00D02870">
        <w:rPr>
          <w:sz w:val="22"/>
          <w:szCs w:val="22"/>
          <w:highlight w:val="green"/>
        </w:rPr>
        <w:t xml:space="preserve"> fund balance.  Interfund balances are eliminated in the statement of net position, except for any net residual amounts due between governmental and business-type activities, which are presented as internal balances.</w:t>
      </w:r>
    </w:p>
    <w:p w14:paraId="4C426DF0" w14:textId="77777777" w:rsidR="00D02870" w:rsidRDefault="00D02870" w:rsidP="00533678">
      <w:pPr>
        <w:widowControl/>
        <w:rPr>
          <w:b/>
          <w:i/>
          <w:sz w:val="22"/>
          <w:szCs w:val="22"/>
        </w:rPr>
      </w:pPr>
    </w:p>
    <w:p w14:paraId="2FCF89A7" w14:textId="77777777" w:rsidR="00530DB6" w:rsidRPr="00D930DB" w:rsidRDefault="00530DB6" w:rsidP="00530DB6">
      <w:pPr>
        <w:jc w:val="both"/>
        <w:rPr>
          <w:b/>
          <w:i/>
          <w:sz w:val="22"/>
          <w:szCs w:val="22"/>
        </w:rPr>
      </w:pPr>
      <w:r w:rsidRPr="00F15A12">
        <w:rPr>
          <w:b/>
          <w:i/>
          <w:sz w:val="22"/>
          <w:szCs w:val="22"/>
          <w:highlight w:val="cyan"/>
        </w:rPr>
        <w:t>Accumulated Leave</w:t>
      </w:r>
    </w:p>
    <w:p w14:paraId="47E096AC" w14:textId="77777777" w:rsidR="00530DB6" w:rsidRDefault="00530DB6" w:rsidP="00530DB6">
      <w:pPr>
        <w:jc w:val="both"/>
        <w:rPr>
          <w:sz w:val="22"/>
          <w:szCs w:val="22"/>
        </w:rPr>
      </w:pPr>
    </w:p>
    <w:p w14:paraId="0E011782" w14:textId="527E1124" w:rsidR="00530DB6" w:rsidRPr="00E93F54" w:rsidRDefault="00530DB6" w:rsidP="00530DB6">
      <w:pPr>
        <w:jc w:val="both"/>
        <w:rPr>
          <w:color w:val="02122B"/>
          <w:spacing w:val="3"/>
          <w:sz w:val="22"/>
          <w:szCs w:val="22"/>
          <w:highlight w:val="yellow"/>
          <w:shd w:val="clear" w:color="auto" w:fill="FFFFFF"/>
        </w:rPr>
      </w:pPr>
      <w:r w:rsidRPr="00323463">
        <w:rPr>
          <w:bCs/>
          <w:iCs/>
          <w:color w:val="000000"/>
          <w:sz w:val="22"/>
          <w:szCs w:val="22"/>
          <w:highlight w:val="cyan"/>
        </w:rPr>
        <w:t xml:space="preserve">For 2024, GASB Statement No. 101, </w:t>
      </w:r>
      <w:r w:rsidRPr="008F25C7">
        <w:rPr>
          <w:bCs/>
          <w:i/>
          <w:color w:val="000000"/>
          <w:sz w:val="22"/>
          <w:szCs w:val="22"/>
          <w:highlight w:val="cyan"/>
        </w:rPr>
        <w:t>Compensated Absences</w:t>
      </w:r>
      <w:r>
        <w:rPr>
          <w:bCs/>
          <w:i/>
          <w:color w:val="000000"/>
          <w:sz w:val="22"/>
          <w:szCs w:val="22"/>
          <w:highlight w:val="cyan"/>
        </w:rPr>
        <w:t>,</w:t>
      </w:r>
      <w:r w:rsidRPr="00323463">
        <w:rPr>
          <w:bCs/>
          <w:iCs/>
          <w:color w:val="000000"/>
          <w:sz w:val="22"/>
          <w:szCs w:val="22"/>
          <w:highlight w:val="cyan"/>
        </w:rPr>
        <w:t xml:space="preserve"> was effective.</w:t>
      </w:r>
      <w:r w:rsidRPr="001B56DA">
        <w:rPr>
          <w:rFonts w:ascii="Helvetica" w:hAnsi="Helvetica"/>
          <w:color w:val="02122B"/>
          <w:spacing w:val="3"/>
          <w:sz w:val="22"/>
          <w:szCs w:val="22"/>
          <w:highlight w:val="cyan"/>
          <w:shd w:val="clear" w:color="auto" w:fill="FFFFFF"/>
        </w:rPr>
        <w:t xml:space="preserve"> </w:t>
      </w:r>
      <w:r w:rsidRPr="00E93F54">
        <w:rPr>
          <w:color w:val="02122B"/>
          <w:spacing w:val="3"/>
          <w:sz w:val="22"/>
          <w:szCs w:val="22"/>
          <w:highlight w:val="cyan"/>
          <w:shd w:val="clear" w:color="auto" w:fill="FFFFFF"/>
        </w:rPr>
        <w:t>GASB 101 defines a compensated absence as</w:t>
      </w:r>
      <w:r w:rsidRPr="00E93F54">
        <w:rPr>
          <w:rFonts w:ascii="TimesNewRomanPSMT" w:hAnsi="TimesNewRomanPSMT" w:cs="TimesNewRomanPSMT"/>
          <w:sz w:val="22"/>
          <w:szCs w:val="22"/>
          <w:highlight w:val="cyan"/>
        </w:rPr>
        <w:t xml:space="preserve"> leave for which employees may receive cash payments when the leave is used for time off or receive cash payments for unused leave upon termination of employment.  These payments could occur during employment or upon termination of employment. Compensated absences generally do not have a set payment schedule.  The </w:t>
      </w:r>
      <w:r w:rsidR="00AA5A1F">
        <w:rPr>
          <w:rFonts w:ascii="TimesNewRomanPSMT" w:hAnsi="TimesNewRomanPSMT" w:cs="TimesNewRomanPSMT"/>
          <w:sz w:val="22"/>
          <w:szCs w:val="22"/>
          <w:highlight w:val="cyan"/>
        </w:rPr>
        <w:t>Library</w:t>
      </w:r>
      <w:r w:rsidRPr="00E93F54">
        <w:rPr>
          <w:rFonts w:ascii="TimesNewRomanPSMT" w:hAnsi="TimesNewRomanPSMT" w:cs="TimesNewRomanPSMT"/>
          <w:sz w:val="22"/>
          <w:szCs w:val="22"/>
          <w:highlight w:val="cyan"/>
        </w:rPr>
        <w:t xml:space="preserve"> does not offer noncash settlements.</w:t>
      </w:r>
      <w:r>
        <w:rPr>
          <w:rFonts w:ascii="TimesNewRomanPSMT" w:hAnsi="TimesNewRomanPSMT" w:cs="TimesNewRomanPSMT"/>
          <w:sz w:val="22"/>
          <w:szCs w:val="22"/>
        </w:rPr>
        <w:t xml:space="preserve"> </w:t>
      </w:r>
      <w:r w:rsidRPr="00E93F54">
        <w:rPr>
          <w:rFonts w:ascii="TimesNewRomanPSMT" w:hAnsi="TimesNewRomanPSMT" w:cs="TimesNewRomanPSMT"/>
          <w:sz w:val="22"/>
          <w:szCs w:val="22"/>
          <w:highlight w:val="yellow"/>
        </w:rPr>
        <w:t>(Update previous sentence as needed)</w:t>
      </w:r>
    </w:p>
    <w:p w14:paraId="5AEF9397" w14:textId="77777777" w:rsidR="00530DB6" w:rsidRDefault="00530DB6" w:rsidP="00530DB6">
      <w:pPr>
        <w:jc w:val="both"/>
        <w:rPr>
          <w:rFonts w:ascii="Helvetica" w:hAnsi="Helvetica"/>
          <w:color w:val="02122B"/>
          <w:spacing w:val="3"/>
          <w:sz w:val="22"/>
          <w:szCs w:val="22"/>
          <w:highlight w:val="cyan"/>
          <w:shd w:val="clear" w:color="auto" w:fill="FFFFFF"/>
        </w:rPr>
      </w:pPr>
    </w:p>
    <w:p w14:paraId="3BCE47E1" w14:textId="77777777" w:rsidR="003E1671" w:rsidRDefault="00AA5A1F" w:rsidP="00530DB6">
      <w:pPr>
        <w:jc w:val="both"/>
        <w:rPr>
          <w:bCs/>
          <w:sz w:val="22"/>
          <w:szCs w:val="22"/>
        </w:rPr>
      </w:pPr>
      <w:r>
        <w:rPr>
          <w:color w:val="02122B"/>
          <w:spacing w:val="3"/>
          <w:sz w:val="22"/>
          <w:szCs w:val="22"/>
          <w:highlight w:val="cyan"/>
          <w:shd w:val="clear" w:color="auto" w:fill="FFFFFF"/>
        </w:rPr>
        <w:t>Library</w:t>
      </w:r>
      <w:r w:rsidR="00530DB6" w:rsidRPr="001B56DA">
        <w:rPr>
          <w:color w:val="02122B"/>
          <w:spacing w:val="3"/>
          <w:sz w:val="22"/>
          <w:szCs w:val="22"/>
          <w:highlight w:val="cyan"/>
          <w:shd w:val="clear" w:color="auto" w:fill="FFFFFF"/>
        </w:rPr>
        <w:t xml:space="preserve"> employees earn sick and vacation time that can be used for time off.  </w:t>
      </w:r>
      <w:r w:rsidR="00530DB6" w:rsidRPr="001B56DA">
        <w:rPr>
          <w:bCs/>
          <w:sz w:val="22"/>
          <w:szCs w:val="22"/>
        </w:rPr>
        <w:t xml:space="preserve">In certain circumstances, such </w:t>
      </w:r>
      <w:r w:rsidR="00530DB6" w:rsidRPr="001B56DA">
        <w:rPr>
          <w:bCs/>
          <w:sz w:val="22"/>
          <w:szCs w:val="22"/>
        </w:rPr>
        <w:lastRenderedPageBreak/>
        <w:t xml:space="preserve">as upon leaving employment or retirement, employees are entitled to cash payments for unused leave. </w:t>
      </w:r>
    </w:p>
    <w:p w14:paraId="197393CA" w14:textId="77777777" w:rsidR="003E1671" w:rsidRDefault="003E1671" w:rsidP="00530DB6">
      <w:pPr>
        <w:jc w:val="both"/>
        <w:rPr>
          <w:bCs/>
          <w:sz w:val="22"/>
          <w:szCs w:val="22"/>
        </w:rPr>
      </w:pPr>
    </w:p>
    <w:p w14:paraId="33FDFEFE" w14:textId="1D7433CA" w:rsidR="00530DB6" w:rsidRPr="00F15A12" w:rsidRDefault="00530DB6" w:rsidP="00530DB6">
      <w:pPr>
        <w:jc w:val="both"/>
        <w:rPr>
          <w:b/>
          <w:sz w:val="22"/>
          <w:szCs w:val="22"/>
        </w:rPr>
      </w:pPr>
      <w:bookmarkStart w:id="15" w:name="_Hlk186804881"/>
      <w:r w:rsidRPr="00E93F54">
        <w:rPr>
          <w:bCs/>
          <w:iCs/>
          <w:color w:val="000000"/>
          <w:sz w:val="22"/>
          <w:szCs w:val="22"/>
          <w:highlight w:val="cyan"/>
        </w:rPr>
        <w:t>This GASB pronouncement had no effect on beginning net position/fund balance as u</w:t>
      </w:r>
      <w:r w:rsidRPr="00E93F54">
        <w:rPr>
          <w:bCs/>
          <w:iCs/>
          <w:sz w:val="22"/>
          <w:szCs w:val="22"/>
          <w:highlight w:val="cyan"/>
        </w:rPr>
        <w:t>npaid leave is not</w:t>
      </w:r>
      <w:r w:rsidRPr="00E93F54">
        <w:rPr>
          <w:bCs/>
          <w:sz w:val="22"/>
          <w:szCs w:val="22"/>
          <w:highlight w:val="cyan"/>
        </w:rPr>
        <w:t xml:space="preserve"> reflected as a liability under the </w:t>
      </w:r>
      <w:r w:rsidR="00AA5A1F">
        <w:rPr>
          <w:bCs/>
          <w:sz w:val="22"/>
          <w:szCs w:val="22"/>
          <w:highlight w:val="cyan"/>
        </w:rPr>
        <w:t>Library</w:t>
      </w:r>
      <w:r>
        <w:rPr>
          <w:bCs/>
          <w:sz w:val="22"/>
          <w:szCs w:val="22"/>
          <w:highlight w:val="cyan"/>
        </w:rPr>
        <w:t>’</w:t>
      </w:r>
      <w:r w:rsidRPr="00E93F54">
        <w:rPr>
          <w:bCs/>
          <w:sz w:val="22"/>
          <w:szCs w:val="22"/>
          <w:highlight w:val="cyan"/>
        </w:rPr>
        <w:t>s</w:t>
      </w:r>
      <w:r w:rsidRPr="001B56DA">
        <w:rPr>
          <w:bCs/>
          <w:sz w:val="22"/>
          <w:szCs w:val="22"/>
        </w:rPr>
        <w:t xml:space="preserve"> </w:t>
      </w:r>
      <w:r w:rsidRPr="00323463">
        <w:rPr>
          <w:bCs/>
          <w:iCs/>
          <w:sz w:val="22"/>
          <w:szCs w:val="22"/>
          <w:highlight w:val="green"/>
        </w:rPr>
        <w:t>modified</w:t>
      </w:r>
      <w:r w:rsidRPr="001B56DA">
        <w:rPr>
          <w:bCs/>
          <w:sz w:val="22"/>
          <w:szCs w:val="22"/>
        </w:rPr>
        <w:t xml:space="preserve"> </w:t>
      </w:r>
      <w:r w:rsidRPr="00E93F54">
        <w:rPr>
          <w:bCs/>
          <w:sz w:val="22"/>
          <w:szCs w:val="22"/>
          <w:highlight w:val="cyan"/>
        </w:rPr>
        <w:t>cash basis of accounting</w:t>
      </w:r>
      <w:r w:rsidRPr="001B56DA">
        <w:rPr>
          <w:bCs/>
          <w:sz w:val="22"/>
          <w:szCs w:val="22"/>
        </w:rPr>
        <w:t>.</w:t>
      </w:r>
      <w:r>
        <w:rPr>
          <w:bCs/>
          <w:sz w:val="22"/>
          <w:szCs w:val="22"/>
        </w:rPr>
        <w:t xml:space="preserve"> </w:t>
      </w:r>
      <w:r w:rsidRPr="00843DD7">
        <w:rPr>
          <w:b/>
          <w:sz w:val="22"/>
          <w:szCs w:val="22"/>
          <w:highlight w:val="yellow"/>
        </w:rPr>
        <w:t xml:space="preserve">See also Note 22 and the New Accounting Pronouncements section of Note 2—This paragraph (along with the New Accounting pronouncements section of Note 2) is an alternative to Note 22 and should only be used if there was no impact to beginning net position/fund balance from implementing GASB 100 and GASB 101 </w:t>
      </w:r>
      <w:r w:rsidRPr="00843DD7">
        <w:rPr>
          <w:b/>
          <w:sz w:val="22"/>
          <w:szCs w:val="22"/>
          <w:highlight w:val="yellow"/>
          <w:u w:val="single"/>
        </w:rPr>
        <w:t>AND</w:t>
      </w:r>
      <w:r w:rsidRPr="00843DD7">
        <w:rPr>
          <w:b/>
          <w:sz w:val="22"/>
          <w:szCs w:val="22"/>
          <w:highlight w:val="yellow"/>
        </w:rPr>
        <w:t xml:space="preserve"> there were no other accounting changes or error corrections in the year GASB 100 and GASB 101 w</w:t>
      </w:r>
      <w:r w:rsidR="003E1671">
        <w:rPr>
          <w:b/>
          <w:sz w:val="22"/>
          <w:szCs w:val="22"/>
          <w:highlight w:val="yellow"/>
        </w:rPr>
        <w:t>ere</w:t>
      </w:r>
      <w:r w:rsidRPr="00843DD7">
        <w:rPr>
          <w:b/>
          <w:sz w:val="22"/>
          <w:szCs w:val="22"/>
          <w:highlight w:val="yellow"/>
        </w:rPr>
        <w:t xml:space="preserve"> implemented—including no funds changing between major and nonmajor.  If this note is used, there should not be a Note 22.)</w:t>
      </w:r>
    </w:p>
    <w:p w14:paraId="322C28C5" w14:textId="77777777" w:rsidR="00530DB6" w:rsidRDefault="00530DB6" w:rsidP="00530DB6">
      <w:pPr>
        <w:jc w:val="both"/>
        <w:rPr>
          <w:bCs/>
          <w:sz w:val="22"/>
          <w:szCs w:val="22"/>
        </w:rPr>
      </w:pPr>
    </w:p>
    <w:bookmarkEnd w:id="15"/>
    <w:p w14:paraId="0821F634" w14:textId="6324E6E1" w:rsidR="00ED3B48" w:rsidRPr="005374C3" w:rsidRDefault="00530DB6" w:rsidP="00530DB6">
      <w:pPr>
        <w:widowControl/>
        <w:jc w:val="both"/>
        <w:rPr>
          <w:sz w:val="22"/>
          <w:szCs w:val="22"/>
        </w:rPr>
      </w:pPr>
      <w:r w:rsidRPr="00AD50A7">
        <w:rPr>
          <w:i/>
          <w:iCs/>
          <w:sz w:val="22"/>
          <w:szCs w:val="22"/>
          <w:highlight w:val="yellow"/>
        </w:rPr>
        <w:t>(Delete this note if no employees are entitled to these benefits)</w:t>
      </w:r>
      <w:r w:rsidR="00ED3B48" w:rsidRPr="005374C3">
        <w:rPr>
          <w:sz w:val="22"/>
          <w:szCs w:val="22"/>
        </w:rPr>
        <w:t xml:space="preserve"> </w:t>
      </w:r>
    </w:p>
    <w:p w14:paraId="19EEDBC5" w14:textId="77777777" w:rsidR="00ED3B48" w:rsidRDefault="00ED3B48" w:rsidP="00533678">
      <w:pPr>
        <w:widowControl/>
        <w:jc w:val="both"/>
        <w:rPr>
          <w:b/>
          <w:i/>
          <w:sz w:val="22"/>
          <w:szCs w:val="22"/>
        </w:rPr>
      </w:pPr>
    </w:p>
    <w:p w14:paraId="3CBC2E5C" w14:textId="77777777" w:rsidR="00ED3B48" w:rsidRPr="005374C3" w:rsidRDefault="00ED3B48" w:rsidP="00533678">
      <w:pPr>
        <w:widowControl/>
        <w:jc w:val="both"/>
        <w:rPr>
          <w:b/>
          <w:i/>
          <w:sz w:val="22"/>
          <w:szCs w:val="22"/>
        </w:rPr>
      </w:pPr>
      <w:r w:rsidRPr="005374C3">
        <w:rPr>
          <w:b/>
          <w:i/>
          <w:sz w:val="22"/>
          <w:szCs w:val="22"/>
        </w:rPr>
        <w:t>Employer Contributions to Cost-Sharing Pension Plans</w:t>
      </w:r>
    </w:p>
    <w:p w14:paraId="1A4B52AB" w14:textId="77777777" w:rsidR="00ED3B48" w:rsidRPr="005374C3" w:rsidRDefault="00ED3B48" w:rsidP="00533678">
      <w:pPr>
        <w:widowControl/>
        <w:jc w:val="both"/>
        <w:rPr>
          <w:sz w:val="22"/>
          <w:szCs w:val="22"/>
        </w:rPr>
      </w:pPr>
    </w:p>
    <w:p w14:paraId="56AF3C64" w14:textId="77777777" w:rsidR="00ED3B48" w:rsidRDefault="00ED3B48" w:rsidP="00533678">
      <w:pPr>
        <w:widowControl/>
        <w:jc w:val="both"/>
        <w:rPr>
          <w:sz w:val="22"/>
          <w:szCs w:val="22"/>
        </w:rPr>
      </w:pPr>
      <w:r w:rsidRPr="005374C3">
        <w:rPr>
          <w:sz w:val="22"/>
          <w:szCs w:val="22"/>
        </w:rPr>
        <w:t xml:space="preserve">The Library recognizes the disbursement for their employer contributions to cost-sharing pension plans when they are paid.  As described in </w:t>
      </w:r>
      <w:r w:rsidRPr="00D02870">
        <w:rPr>
          <w:sz w:val="22"/>
          <w:szCs w:val="22"/>
          <w:highlight w:val="green"/>
        </w:rPr>
        <w:t xml:space="preserve">Notes </w:t>
      </w:r>
      <w:r w:rsidR="00D02870" w:rsidRPr="00D02870">
        <w:rPr>
          <w:sz w:val="22"/>
          <w:szCs w:val="22"/>
          <w:highlight w:val="green"/>
        </w:rPr>
        <w:t>9</w:t>
      </w:r>
      <w:r w:rsidRPr="00D02870">
        <w:rPr>
          <w:sz w:val="22"/>
          <w:szCs w:val="22"/>
          <w:highlight w:val="green"/>
        </w:rPr>
        <w:t xml:space="preserve"> and 1</w:t>
      </w:r>
      <w:r w:rsidR="00D02870" w:rsidRPr="00D02870">
        <w:rPr>
          <w:sz w:val="22"/>
          <w:szCs w:val="22"/>
          <w:highlight w:val="green"/>
        </w:rPr>
        <w:t>0</w:t>
      </w:r>
      <w:r w:rsidRPr="005374C3">
        <w:rPr>
          <w:sz w:val="22"/>
          <w:szCs w:val="22"/>
        </w:rPr>
        <w:t xml:space="preserve">, the employer contributions include portions for pension benefits and for </w:t>
      </w:r>
      <w:r w:rsidR="00B1184E">
        <w:rPr>
          <w:sz w:val="22"/>
          <w:szCs w:val="22"/>
        </w:rPr>
        <w:t xml:space="preserve">other postemployment </w:t>
      </w:r>
      <w:r w:rsidRPr="005374C3">
        <w:rPr>
          <w:sz w:val="22"/>
          <w:szCs w:val="22"/>
        </w:rPr>
        <w:t>benefits</w:t>
      </w:r>
      <w:r w:rsidR="00B1184E">
        <w:rPr>
          <w:sz w:val="22"/>
          <w:szCs w:val="22"/>
        </w:rPr>
        <w:t xml:space="preserve"> (OPEB)</w:t>
      </w:r>
      <w:r w:rsidRPr="005374C3">
        <w:rPr>
          <w:sz w:val="22"/>
          <w:szCs w:val="22"/>
        </w:rPr>
        <w:t xml:space="preserve">.  </w:t>
      </w:r>
    </w:p>
    <w:p w14:paraId="7534D3D8" w14:textId="77777777" w:rsidR="009E2E80" w:rsidRPr="005374C3" w:rsidRDefault="009E2E80" w:rsidP="00533678">
      <w:pPr>
        <w:widowControl/>
        <w:jc w:val="both"/>
        <w:rPr>
          <w:sz w:val="22"/>
          <w:szCs w:val="22"/>
        </w:rPr>
      </w:pPr>
    </w:p>
    <w:p w14:paraId="4B5FC011" w14:textId="2D85B6F2" w:rsidR="00ED3B48" w:rsidRPr="005374C3" w:rsidRDefault="00ED3B48" w:rsidP="00533678">
      <w:pPr>
        <w:widowControl/>
        <w:jc w:val="both"/>
        <w:rPr>
          <w:b/>
          <w:i/>
          <w:sz w:val="22"/>
          <w:szCs w:val="22"/>
        </w:rPr>
      </w:pPr>
      <w:r w:rsidRPr="005374C3">
        <w:rPr>
          <w:b/>
          <w:i/>
          <w:sz w:val="22"/>
          <w:szCs w:val="22"/>
        </w:rPr>
        <w:t>Long-Term Obligations</w:t>
      </w:r>
    </w:p>
    <w:p w14:paraId="33581AED" w14:textId="77777777" w:rsidR="00ED3B48" w:rsidRPr="005374C3" w:rsidRDefault="00ED3B48" w:rsidP="00533678">
      <w:pPr>
        <w:widowControl/>
        <w:jc w:val="both"/>
        <w:rPr>
          <w:sz w:val="22"/>
          <w:szCs w:val="22"/>
        </w:rPr>
      </w:pPr>
    </w:p>
    <w:p w14:paraId="560DCC44" w14:textId="5E03FFE3" w:rsidR="00ED3B48" w:rsidRDefault="00ED3B48" w:rsidP="00533678">
      <w:pPr>
        <w:widowControl/>
        <w:jc w:val="both"/>
        <w:rPr>
          <w:sz w:val="22"/>
          <w:szCs w:val="22"/>
        </w:rPr>
      </w:pPr>
      <w:r w:rsidRPr="005374C3">
        <w:rPr>
          <w:sz w:val="22"/>
          <w:szCs w:val="22"/>
        </w:rPr>
        <w:t xml:space="preserve">The Library’s </w:t>
      </w:r>
      <w:r w:rsidRPr="00ED3B48">
        <w:rPr>
          <w:sz w:val="22"/>
          <w:szCs w:val="22"/>
          <w:highlight w:val="green"/>
        </w:rPr>
        <w:t>modified</w:t>
      </w:r>
      <w:r w:rsidRPr="00ED3B48">
        <w:rPr>
          <w:sz w:val="22"/>
          <w:szCs w:val="22"/>
        </w:rPr>
        <w:t xml:space="preserve"> c</w:t>
      </w:r>
      <w:r w:rsidRPr="005374C3">
        <w:rPr>
          <w:sz w:val="22"/>
          <w:szCs w:val="22"/>
        </w:rPr>
        <w:t xml:space="preserve">ash basis financial statements do not report liabilities for long-term obligations.  Proceeds of debt are reported when the cash is </w:t>
      </w:r>
      <w:proofErr w:type="gramStart"/>
      <w:r w:rsidRPr="005374C3">
        <w:rPr>
          <w:sz w:val="22"/>
          <w:szCs w:val="22"/>
        </w:rPr>
        <w:t>received</w:t>
      </w:r>
      <w:proofErr w:type="gramEnd"/>
      <w:r w:rsidRPr="005374C3">
        <w:rPr>
          <w:sz w:val="22"/>
          <w:szCs w:val="22"/>
        </w:rPr>
        <w:t xml:space="preserve"> and principal and interest payments are reported when paid.  </w:t>
      </w:r>
      <w:r w:rsidR="00E31490" w:rsidRPr="00F4016C">
        <w:rPr>
          <w:sz w:val="22"/>
          <w:szCs w:val="22"/>
        </w:rPr>
        <w:t xml:space="preserve">Since recording a capital asset (including the intangible right to use) when entering into a </w:t>
      </w:r>
      <w:r w:rsidR="00E31490" w:rsidRPr="00BF527F">
        <w:rPr>
          <w:sz w:val="22"/>
          <w:szCs w:val="22"/>
          <w:highlight w:val="green"/>
        </w:rPr>
        <w:t>lease</w:t>
      </w:r>
      <w:r w:rsidR="00F4016C" w:rsidRPr="00BF527F">
        <w:rPr>
          <w:sz w:val="22"/>
          <w:szCs w:val="22"/>
          <w:highlight w:val="green"/>
        </w:rPr>
        <w:t>, SBITA,</w:t>
      </w:r>
      <w:r w:rsidR="00E31490" w:rsidRPr="00BF527F">
        <w:rPr>
          <w:sz w:val="22"/>
          <w:szCs w:val="22"/>
          <w:highlight w:val="green"/>
        </w:rPr>
        <w:t xml:space="preserve"> or financed purchase</w:t>
      </w:r>
      <w:r w:rsidR="00E31490" w:rsidRPr="00F4016C">
        <w:rPr>
          <w:sz w:val="22"/>
          <w:szCs w:val="22"/>
        </w:rPr>
        <w:t xml:space="preserve"> transaction is not the result of a cash transaction, neither </w:t>
      </w:r>
      <w:proofErr w:type="spellStart"/>
      <w:proofErr w:type="gramStart"/>
      <w:r w:rsidR="00E31490" w:rsidRPr="00F4016C">
        <w:rPr>
          <w:sz w:val="22"/>
          <w:szCs w:val="22"/>
        </w:rPr>
        <w:t>an other</w:t>
      </w:r>
      <w:proofErr w:type="spellEnd"/>
      <w:proofErr w:type="gramEnd"/>
      <w:r w:rsidR="00E31490" w:rsidRPr="00F4016C">
        <w:rPr>
          <w:sz w:val="22"/>
          <w:szCs w:val="22"/>
        </w:rPr>
        <w:t xml:space="preserve"> financing source nor a capital outlay expenditure is reported at inception. </w:t>
      </w:r>
      <w:r w:rsidR="00E31490" w:rsidRPr="00BF527F">
        <w:rPr>
          <w:sz w:val="22"/>
          <w:szCs w:val="22"/>
          <w:highlight w:val="green"/>
        </w:rPr>
        <w:t>Lease payments</w:t>
      </w:r>
      <w:r w:rsidR="00F4016C" w:rsidRPr="00BF527F">
        <w:rPr>
          <w:sz w:val="22"/>
          <w:szCs w:val="22"/>
          <w:highlight w:val="green"/>
        </w:rPr>
        <w:t xml:space="preserve">, SBITA payments, </w:t>
      </w:r>
      <w:r w:rsidR="00E31490" w:rsidRPr="00BF527F">
        <w:rPr>
          <w:sz w:val="22"/>
          <w:szCs w:val="22"/>
          <w:highlight w:val="green"/>
        </w:rPr>
        <w:t xml:space="preserve"> and financed purchase payments</w:t>
      </w:r>
      <w:r w:rsidR="00E31490" w:rsidRPr="00F4016C">
        <w:rPr>
          <w:sz w:val="22"/>
          <w:szCs w:val="22"/>
        </w:rPr>
        <w:t xml:space="preserve"> are reported when paid.</w:t>
      </w:r>
      <w:r w:rsidRPr="00F4016C">
        <w:rPr>
          <w:sz w:val="22"/>
          <w:szCs w:val="22"/>
        </w:rPr>
        <w:t>(</w:t>
      </w:r>
      <w:r w:rsidRPr="003407B0">
        <w:rPr>
          <w:sz w:val="22"/>
          <w:szCs w:val="22"/>
          <w:highlight w:val="yellow"/>
        </w:rPr>
        <w:t>Modify if the Library chooses to modify the cash basis of accounting to record and report long-term obligations arising from cash transactions in the financial statements.)</w:t>
      </w:r>
      <w:r>
        <w:rPr>
          <w:sz w:val="22"/>
          <w:szCs w:val="22"/>
        </w:rPr>
        <w:t xml:space="preserve"> </w:t>
      </w:r>
      <w:r w:rsidRPr="00ED3B48">
        <w:rPr>
          <w:sz w:val="22"/>
          <w:szCs w:val="22"/>
          <w:highlight w:val="yellow"/>
        </w:rPr>
        <w:t>Delete refe</w:t>
      </w:r>
      <w:r w:rsidR="0050650A">
        <w:rPr>
          <w:sz w:val="22"/>
          <w:szCs w:val="22"/>
          <w:highlight w:val="yellow"/>
        </w:rPr>
        <w:t>rence to l</w:t>
      </w:r>
      <w:r w:rsidR="0050650A" w:rsidRPr="009E67C1">
        <w:rPr>
          <w:sz w:val="22"/>
          <w:szCs w:val="22"/>
          <w:highlight w:val="yellow"/>
        </w:rPr>
        <w:t>eases</w:t>
      </w:r>
      <w:r w:rsidR="00F4016C" w:rsidRPr="009E67C1">
        <w:rPr>
          <w:sz w:val="22"/>
          <w:szCs w:val="22"/>
          <w:highlight w:val="yellow"/>
        </w:rPr>
        <w:t>, SBITAs,</w:t>
      </w:r>
      <w:r w:rsidR="002071D1" w:rsidRPr="009E67C1">
        <w:rPr>
          <w:sz w:val="22"/>
          <w:szCs w:val="22"/>
          <w:highlight w:val="yellow"/>
        </w:rPr>
        <w:t xml:space="preserve"> </w:t>
      </w:r>
      <w:r w:rsidR="002071D1">
        <w:rPr>
          <w:sz w:val="22"/>
          <w:szCs w:val="22"/>
          <w:highlight w:val="yellow"/>
        </w:rPr>
        <w:t>and</w:t>
      </w:r>
      <w:r w:rsidR="00F4016C">
        <w:rPr>
          <w:sz w:val="22"/>
          <w:szCs w:val="22"/>
          <w:highlight w:val="yellow"/>
        </w:rPr>
        <w:t>/or</w:t>
      </w:r>
      <w:r w:rsidR="002071D1">
        <w:rPr>
          <w:sz w:val="22"/>
          <w:szCs w:val="22"/>
          <w:highlight w:val="yellow"/>
        </w:rPr>
        <w:t xml:space="preserve"> financed purchases </w:t>
      </w:r>
      <w:r w:rsidR="0050650A" w:rsidRPr="009A1ADE">
        <w:rPr>
          <w:sz w:val="22"/>
          <w:szCs w:val="22"/>
          <w:highlight w:val="yellow"/>
        </w:rPr>
        <w:t>if there are no</w:t>
      </w:r>
      <w:r w:rsidR="002071D1" w:rsidRPr="009A1ADE">
        <w:rPr>
          <w:sz w:val="22"/>
          <w:szCs w:val="22"/>
          <w:highlight w:val="yellow"/>
        </w:rPr>
        <w:t>ne</w:t>
      </w:r>
      <w:r w:rsidRPr="009A1ADE">
        <w:rPr>
          <w:sz w:val="22"/>
          <w:szCs w:val="22"/>
          <w:highlight w:val="yellow"/>
        </w:rPr>
        <w:t>.</w:t>
      </w:r>
      <w:r w:rsidR="00F4016C" w:rsidRPr="009A1ADE">
        <w:rPr>
          <w:sz w:val="22"/>
          <w:szCs w:val="22"/>
          <w:highlight w:val="yellow"/>
        </w:rPr>
        <w:t xml:space="preserve"> Also, add reference to GASB 94 PPP and APA, if needed.</w:t>
      </w:r>
    </w:p>
    <w:p w14:paraId="6A622232" w14:textId="48D3A1BC" w:rsidR="003407B0" w:rsidRDefault="003407B0" w:rsidP="00533678">
      <w:pPr>
        <w:widowControl/>
        <w:jc w:val="both"/>
        <w:rPr>
          <w:sz w:val="22"/>
          <w:szCs w:val="22"/>
        </w:rPr>
      </w:pPr>
    </w:p>
    <w:p w14:paraId="1A0AC5B5" w14:textId="7C072540" w:rsidR="00B15968" w:rsidRPr="00B15968" w:rsidRDefault="00B15968" w:rsidP="00B15968">
      <w:pPr>
        <w:widowControl/>
        <w:autoSpaceDE/>
        <w:autoSpaceDN/>
        <w:adjustRightInd/>
        <w:jc w:val="both"/>
        <w:rPr>
          <w:b/>
          <w:i/>
          <w:sz w:val="22"/>
          <w:szCs w:val="22"/>
          <w:highlight w:val="cyan"/>
          <w:lang w:eastAsia="ja-JP"/>
        </w:rPr>
      </w:pPr>
      <w:r w:rsidRPr="00875895">
        <w:rPr>
          <w:b/>
          <w:i/>
          <w:sz w:val="22"/>
          <w:szCs w:val="22"/>
          <w:highlight w:val="green"/>
          <w:lang w:eastAsia="ja-JP"/>
        </w:rPr>
        <w:t>Leases</w:t>
      </w:r>
      <w:r w:rsidR="00F4016C" w:rsidRPr="00875895">
        <w:rPr>
          <w:b/>
          <w:i/>
          <w:sz w:val="22"/>
          <w:szCs w:val="22"/>
          <w:highlight w:val="green"/>
          <w:lang w:eastAsia="ja-JP"/>
        </w:rPr>
        <w:t xml:space="preserve"> and SBITAs</w:t>
      </w:r>
    </w:p>
    <w:p w14:paraId="2A4F692D" w14:textId="77777777" w:rsidR="00B15968" w:rsidRPr="00B15968" w:rsidRDefault="00B15968" w:rsidP="00B15968">
      <w:pPr>
        <w:widowControl/>
        <w:autoSpaceDE/>
        <w:autoSpaceDN/>
        <w:adjustRightInd/>
        <w:jc w:val="both"/>
        <w:rPr>
          <w:color w:val="000000"/>
          <w:sz w:val="22"/>
          <w:szCs w:val="22"/>
          <w:highlight w:val="cyan"/>
        </w:rPr>
      </w:pPr>
    </w:p>
    <w:p w14:paraId="09A7E139" w14:textId="0884A3EC" w:rsidR="00F4016C" w:rsidRPr="006E39AA" w:rsidRDefault="00F4016C" w:rsidP="00F4016C">
      <w:pPr>
        <w:pStyle w:val="NormalWeb"/>
        <w:jc w:val="both"/>
        <w:rPr>
          <w:b w:val="0"/>
          <w:iCs/>
          <w:color w:val="000000"/>
          <w:sz w:val="22"/>
          <w:szCs w:val="22"/>
        </w:rPr>
      </w:pPr>
      <w:r w:rsidRPr="00955640">
        <w:rPr>
          <w:b w:val="0"/>
          <w:i w:val="0"/>
          <w:color w:val="000000"/>
          <w:sz w:val="22"/>
          <w:szCs w:val="22"/>
        </w:rPr>
        <w:t xml:space="preserve">The </w:t>
      </w:r>
      <w:r>
        <w:rPr>
          <w:b w:val="0"/>
          <w:i w:val="0"/>
          <w:color w:val="000000"/>
          <w:sz w:val="22"/>
          <w:szCs w:val="22"/>
        </w:rPr>
        <w:t>Library</w:t>
      </w:r>
      <w:r w:rsidRPr="00955640">
        <w:rPr>
          <w:b w:val="0"/>
          <w:i w:val="0"/>
          <w:color w:val="000000"/>
          <w:sz w:val="22"/>
          <w:szCs w:val="22"/>
        </w:rPr>
        <w:t xml:space="preserve"> is the </w:t>
      </w:r>
      <w:r w:rsidRPr="006E39AA">
        <w:rPr>
          <w:b w:val="0"/>
          <w:i w:val="0"/>
          <w:color w:val="000000"/>
          <w:sz w:val="22"/>
          <w:szCs w:val="22"/>
          <w:highlight w:val="green"/>
        </w:rPr>
        <w:t xml:space="preserve">lessor/lessee </w:t>
      </w:r>
      <w:r w:rsidRPr="00955640">
        <w:rPr>
          <w:b w:val="0"/>
          <w:i w:val="0"/>
          <w:color w:val="000000"/>
          <w:sz w:val="22"/>
          <w:szCs w:val="22"/>
        </w:rPr>
        <w:t xml:space="preserve">(as defined by GASB 87) in various leases related to </w:t>
      </w:r>
      <w:r w:rsidRPr="006E39AA">
        <w:rPr>
          <w:b w:val="0"/>
          <w:i w:val="0"/>
          <w:color w:val="000000"/>
          <w:sz w:val="22"/>
          <w:szCs w:val="22"/>
          <w:highlight w:val="green"/>
        </w:rPr>
        <w:t xml:space="preserve">buildings, vehicles and other equipment </w:t>
      </w:r>
      <w:r w:rsidRPr="00955640">
        <w:rPr>
          <w:b w:val="0"/>
          <w:i w:val="0"/>
          <w:color w:val="000000"/>
          <w:sz w:val="22"/>
          <w:szCs w:val="22"/>
        </w:rPr>
        <w:t xml:space="preserve">under noncancelable leases. </w:t>
      </w:r>
      <w:r w:rsidRPr="00291BC7">
        <w:rPr>
          <w:b w:val="0"/>
          <w:i w:val="0"/>
          <w:color w:val="000000"/>
          <w:sz w:val="22"/>
          <w:szCs w:val="22"/>
          <w:highlight w:val="green"/>
        </w:rPr>
        <w:t>Lease receivables/deferred inflow of resources and intangible right to use asset/lease payable</w:t>
      </w:r>
      <w:r w:rsidRPr="00FB58DD">
        <w:rPr>
          <w:b w:val="0"/>
          <w:i w:val="0"/>
          <w:color w:val="000000"/>
          <w:sz w:val="22"/>
          <w:szCs w:val="22"/>
        </w:rPr>
        <w:t xml:space="preserve"> are not reflected under the Library’s </w:t>
      </w:r>
      <w:r w:rsidRPr="00FB58DD">
        <w:rPr>
          <w:b w:val="0"/>
          <w:i w:val="0"/>
          <w:color w:val="000000"/>
          <w:sz w:val="22"/>
          <w:szCs w:val="22"/>
          <w:highlight w:val="green"/>
        </w:rPr>
        <w:t>modified</w:t>
      </w:r>
      <w:r w:rsidRPr="00CD2A80">
        <w:rPr>
          <w:b w:val="0"/>
          <w:i w:val="0"/>
          <w:color w:val="000000"/>
          <w:sz w:val="22"/>
          <w:szCs w:val="22"/>
        </w:rPr>
        <w:t xml:space="preserve"> cash basis of accounting.</w:t>
      </w:r>
      <w:r w:rsidRPr="00955640">
        <w:rPr>
          <w:b w:val="0"/>
          <w:i w:val="0"/>
          <w:color w:val="000000"/>
          <w:sz w:val="22"/>
          <w:szCs w:val="22"/>
        </w:rPr>
        <w:t xml:space="preserve">  Lease revenue/disbursements are recognized when they are received/paid.</w:t>
      </w:r>
      <w:r w:rsidRPr="00776E7E">
        <w:rPr>
          <w:b w:val="0"/>
          <w:i w:val="0"/>
          <w:color w:val="000000"/>
          <w:sz w:val="22"/>
          <w:szCs w:val="22"/>
        </w:rPr>
        <w:t xml:space="preserve"> </w:t>
      </w:r>
      <w:r>
        <w:rPr>
          <w:b w:val="0"/>
          <w:i w:val="0"/>
          <w:color w:val="000000"/>
          <w:sz w:val="22"/>
          <w:szCs w:val="22"/>
        </w:rPr>
        <w:t>(</w:t>
      </w:r>
      <w:r w:rsidRPr="006E39AA">
        <w:rPr>
          <w:b w:val="0"/>
          <w:iCs/>
          <w:color w:val="000000"/>
          <w:sz w:val="22"/>
          <w:szCs w:val="22"/>
          <w:highlight w:val="yellow"/>
        </w:rPr>
        <w:t xml:space="preserve">Edit as needed.  This note can be deleted if the </w:t>
      </w:r>
      <w:r w:rsidR="00844E5A">
        <w:rPr>
          <w:b w:val="0"/>
          <w:iCs/>
          <w:color w:val="000000"/>
          <w:sz w:val="22"/>
          <w:szCs w:val="22"/>
          <w:highlight w:val="yellow"/>
        </w:rPr>
        <w:t>Library</w:t>
      </w:r>
      <w:r w:rsidRPr="006E39AA">
        <w:rPr>
          <w:b w:val="0"/>
          <w:iCs/>
          <w:color w:val="000000"/>
          <w:sz w:val="22"/>
          <w:szCs w:val="22"/>
          <w:highlight w:val="yellow"/>
        </w:rPr>
        <w:t xml:space="preserve"> has no GASB 87 leases.</w:t>
      </w:r>
      <w:r>
        <w:rPr>
          <w:b w:val="0"/>
          <w:iCs/>
          <w:color w:val="000000"/>
          <w:sz w:val="22"/>
          <w:szCs w:val="22"/>
          <w:highlight w:val="yellow"/>
        </w:rPr>
        <w:t xml:space="preserve">  No disclosure is needed for GASB 87 short-term leases.</w:t>
      </w:r>
      <w:r w:rsidRPr="006E39AA">
        <w:rPr>
          <w:b w:val="0"/>
          <w:iCs/>
          <w:color w:val="000000"/>
          <w:sz w:val="22"/>
          <w:szCs w:val="22"/>
          <w:highlight w:val="yellow"/>
        </w:rPr>
        <w:t>)</w:t>
      </w:r>
    </w:p>
    <w:p w14:paraId="087801B5" w14:textId="77777777" w:rsidR="00F4016C" w:rsidRDefault="00F4016C" w:rsidP="00F4016C">
      <w:pPr>
        <w:jc w:val="both"/>
        <w:rPr>
          <w:b/>
          <w:i/>
          <w:sz w:val="22"/>
          <w:szCs w:val="22"/>
        </w:rPr>
      </w:pPr>
    </w:p>
    <w:p w14:paraId="7EE6207E" w14:textId="7E623D0C" w:rsidR="00F4016C" w:rsidRPr="00291BC7" w:rsidRDefault="00F4016C" w:rsidP="00F4016C">
      <w:pPr>
        <w:tabs>
          <w:tab w:val="left" w:pos="540"/>
        </w:tabs>
        <w:jc w:val="both"/>
        <w:rPr>
          <w:i/>
          <w:iCs/>
          <w:sz w:val="22"/>
          <w:szCs w:val="22"/>
        </w:rPr>
      </w:pPr>
      <w:r w:rsidRPr="00CD2A80">
        <w:rPr>
          <w:sz w:val="22"/>
          <w:szCs w:val="22"/>
          <w:highlight w:val="green"/>
        </w:rPr>
        <w:t xml:space="preserve">The </w:t>
      </w:r>
      <w:proofErr w:type="gramStart"/>
      <w:r w:rsidRPr="00CD2A80">
        <w:rPr>
          <w:sz w:val="22"/>
          <w:szCs w:val="22"/>
          <w:highlight w:val="green"/>
        </w:rPr>
        <w:t>Library</w:t>
      </w:r>
      <w:proofErr w:type="gramEnd"/>
      <w:r w:rsidRPr="00CD2A80">
        <w:rPr>
          <w:sz w:val="22"/>
          <w:szCs w:val="22"/>
          <w:highlight w:val="green"/>
        </w:rPr>
        <w:t xml:space="preserve"> has entered into noncancelable Subscription-Based Information Technology Arrangements (SBITA) contracts (as defined by GASB 96) for several types of software including contracts related to financial systems, scheduling, and various other software. </w:t>
      </w:r>
      <w:bookmarkStart w:id="16" w:name="_Hlk155077479"/>
      <w:r w:rsidRPr="00CD2A80">
        <w:rPr>
          <w:sz w:val="22"/>
          <w:szCs w:val="22"/>
          <w:highlight w:val="green"/>
        </w:rPr>
        <w:t>Subscription assets/liabilities are not reflected under the Library’s modified cash basis of accounting.</w:t>
      </w:r>
      <w:bookmarkEnd w:id="16"/>
      <w:r w:rsidRPr="00CD2A80">
        <w:rPr>
          <w:sz w:val="22"/>
          <w:szCs w:val="22"/>
          <w:highlight w:val="green"/>
        </w:rPr>
        <w:t xml:space="preserve"> Subscription disbursements are recognized when they are paid.</w:t>
      </w:r>
      <w:r w:rsidRPr="00101564">
        <w:rPr>
          <w:sz w:val="22"/>
          <w:szCs w:val="22"/>
        </w:rPr>
        <w:t xml:space="preserve"> (</w:t>
      </w:r>
      <w:r w:rsidRPr="007B34A8">
        <w:rPr>
          <w:i/>
          <w:iCs/>
          <w:sz w:val="22"/>
          <w:szCs w:val="22"/>
          <w:highlight w:val="yellow"/>
        </w:rPr>
        <w:t xml:space="preserve">Edit as needed. This </w:t>
      </w:r>
      <w:r w:rsidRPr="0088625D">
        <w:rPr>
          <w:i/>
          <w:iCs/>
          <w:sz w:val="22"/>
          <w:szCs w:val="22"/>
          <w:highlight w:val="yellow"/>
        </w:rPr>
        <w:t xml:space="preserve">paragraph </w:t>
      </w:r>
      <w:r w:rsidR="0088625D" w:rsidRPr="0088625D">
        <w:rPr>
          <w:i/>
          <w:iCs/>
          <w:sz w:val="22"/>
          <w:szCs w:val="22"/>
          <w:highlight w:val="yellow"/>
        </w:rPr>
        <w:t xml:space="preserve">and the reference in the </w:t>
      </w:r>
      <w:r w:rsidRPr="0088625D">
        <w:rPr>
          <w:i/>
          <w:iCs/>
          <w:sz w:val="22"/>
          <w:szCs w:val="22"/>
          <w:highlight w:val="yellow"/>
        </w:rPr>
        <w:t xml:space="preserve">can be </w:t>
      </w:r>
      <w:r w:rsidRPr="007B34A8">
        <w:rPr>
          <w:i/>
          <w:iCs/>
          <w:sz w:val="22"/>
          <w:szCs w:val="22"/>
          <w:highlight w:val="yellow"/>
        </w:rPr>
        <w:t xml:space="preserve">deleted if the </w:t>
      </w:r>
      <w:r>
        <w:rPr>
          <w:i/>
          <w:iCs/>
          <w:sz w:val="22"/>
          <w:szCs w:val="22"/>
          <w:highlight w:val="yellow"/>
        </w:rPr>
        <w:t>Library</w:t>
      </w:r>
      <w:r w:rsidRPr="007B34A8">
        <w:rPr>
          <w:i/>
          <w:iCs/>
          <w:sz w:val="22"/>
          <w:szCs w:val="22"/>
          <w:highlight w:val="yellow"/>
        </w:rPr>
        <w:t xml:space="preserve"> has no GASB 96 SBITAs</w:t>
      </w:r>
      <w:r>
        <w:rPr>
          <w:sz w:val="22"/>
          <w:szCs w:val="22"/>
          <w:highlight w:val="yellow"/>
        </w:rPr>
        <w:t xml:space="preserve">.  </w:t>
      </w:r>
      <w:r w:rsidRPr="00291BC7">
        <w:rPr>
          <w:i/>
          <w:iCs/>
          <w:sz w:val="22"/>
          <w:szCs w:val="22"/>
          <w:highlight w:val="yellow"/>
        </w:rPr>
        <w:t>No disclosure is needed for GASB 96 short-term SBITAs. )</w:t>
      </w:r>
    </w:p>
    <w:p w14:paraId="5D797443" w14:textId="77777777" w:rsidR="00F4016C" w:rsidRPr="00291BC7" w:rsidRDefault="00F4016C" w:rsidP="00F4016C">
      <w:pPr>
        <w:jc w:val="both"/>
        <w:rPr>
          <w:b/>
          <w:i/>
          <w:iCs/>
          <w:sz w:val="22"/>
          <w:szCs w:val="22"/>
        </w:rPr>
      </w:pPr>
    </w:p>
    <w:p w14:paraId="176E1D29" w14:textId="27E397EB" w:rsidR="00F4016C" w:rsidRDefault="00F4016C" w:rsidP="00F4016C">
      <w:pPr>
        <w:jc w:val="both"/>
        <w:rPr>
          <w:bCs/>
          <w:i/>
          <w:sz w:val="22"/>
          <w:szCs w:val="22"/>
        </w:rPr>
      </w:pPr>
      <w:bookmarkStart w:id="17" w:name="_Hlk154128290"/>
      <w:bookmarkStart w:id="18" w:name="_Hlk154128376"/>
      <w:r w:rsidRPr="00F31013">
        <w:rPr>
          <w:bCs/>
          <w:i/>
          <w:sz w:val="22"/>
          <w:szCs w:val="22"/>
          <w:highlight w:val="yellow"/>
        </w:rPr>
        <w:t>If the library has any PPPs or APA under GASB 94, add explanation and edit first paragraph to also address GASB Statement No 94, Public-Private and Public-Public Partnerships and Availability Payment Arrangements.</w:t>
      </w:r>
      <w:bookmarkEnd w:id="17"/>
      <w:r w:rsidRPr="00F31013">
        <w:rPr>
          <w:bCs/>
          <w:i/>
          <w:sz w:val="22"/>
          <w:szCs w:val="22"/>
          <w:highlight w:val="yellow"/>
        </w:rPr>
        <w:t xml:space="preserve">  Sample explanation is as follows:</w:t>
      </w:r>
    </w:p>
    <w:bookmarkEnd w:id="18"/>
    <w:p w14:paraId="76617A2B" w14:textId="77777777" w:rsidR="00F4016C" w:rsidRDefault="00F4016C" w:rsidP="00F4016C">
      <w:pPr>
        <w:jc w:val="both"/>
        <w:rPr>
          <w:b/>
          <w:i/>
          <w:sz w:val="22"/>
          <w:szCs w:val="22"/>
        </w:rPr>
      </w:pPr>
    </w:p>
    <w:p w14:paraId="37B33B83" w14:textId="30CC525D" w:rsidR="0088625D" w:rsidRPr="0088625D" w:rsidRDefault="00F4016C" w:rsidP="0088625D">
      <w:pPr>
        <w:tabs>
          <w:tab w:val="left" w:pos="540"/>
        </w:tabs>
        <w:jc w:val="both"/>
        <w:rPr>
          <w:i/>
          <w:iCs/>
          <w:sz w:val="22"/>
          <w:szCs w:val="22"/>
          <w:highlight w:val="yellow"/>
        </w:rPr>
      </w:pPr>
      <w:r w:rsidRPr="00EE72B8">
        <w:rPr>
          <w:sz w:val="22"/>
          <w:szCs w:val="22"/>
          <w:highlight w:val="green"/>
        </w:rPr>
        <w:t xml:space="preserve">The Library is the transferor/operator in a Public-Private/Public-Public Partnership (as defined by GASB 94) related to explain the purpose of arrangement under a noncancelable arrangement. Installment receivables/deferred inflow of resources and intangible right to use asset/installment liability are not reflected under the Library’s modified cash basis of accounting. Installment revenue/disbursements are recognized when they are received/paid. </w:t>
      </w:r>
      <w:r w:rsidRPr="00EE72B8">
        <w:rPr>
          <w:sz w:val="22"/>
          <w:szCs w:val="22"/>
          <w:highlight w:val="yellow"/>
        </w:rPr>
        <w:t>(</w:t>
      </w:r>
      <w:r w:rsidRPr="00ED1089">
        <w:rPr>
          <w:i/>
          <w:iCs/>
          <w:sz w:val="22"/>
          <w:szCs w:val="22"/>
          <w:highlight w:val="yellow"/>
        </w:rPr>
        <w:t>Edit as needed.</w:t>
      </w:r>
      <w:r>
        <w:rPr>
          <w:i/>
          <w:iCs/>
          <w:sz w:val="22"/>
          <w:szCs w:val="22"/>
          <w:highlight w:val="yellow"/>
        </w:rPr>
        <w:t xml:space="preserve"> Disclosure can be expanded to address all relevant information. </w:t>
      </w:r>
      <w:r w:rsidRPr="00ED1089">
        <w:rPr>
          <w:i/>
          <w:iCs/>
          <w:sz w:val="22"/>
          <w:szCs w:val="22"/>
          <w:highlight w:val="yellow"/>
        </w:rPr>
        <w:t xml:space="preserve"> This note can be deleted if the </w:t>
      </w:r>
      <w:r>
        <w:rPr>
          <w:i/>
          <w:iCs/>
          <w:sz w:val="22"/>
          <w:szCs w:val="22"/>
          <w:highlight w:val="yellow"/>
        </w:rPr>
        <w:t>Entity</w:t>
      </w:r>
      <w:r w:rsidRPr="00ED1089">
        <w:rPr>
          <w:i/>
          <w:iCs/>
          <w:sz w:val="22"/>
          <w:szCs w:val="22"/>
          <w:highlight w:val="yellow"/>
        </w:rPr>
        <w:t xml:space="preserve"> has no GASB </w:t>
      </w:r>
      <w:r>
        <w:rPr>
          <w:i/>
          <w:iCs/>
          <w:sz w:val="22"/>
          <w:szCs w:val="22"/>
          <w:highlight w:val="yellow"/>
        </w:rPr>
        <w:t>94</w:t>
      </w:r>
      <w:r w:rsidRPr="00ED1089">
        <w:rPr>
          <w:i/>
          <w:iCs/>
          <w:sz w:val="22"/>
          <w:szCs w:val="22"/>
          <w:highlight w:val="yellow"/>
        </w:rPr>
        <w:t xml:space="preserve"> </w:t>
      </w:r>
      <w:r>
        <w:rPr>
          <w:i/>
          <w:iCs/>
          <w:sz w:val="22"/>
          <w:szCs w:val="22"/>
          <w:highlight w:val="yellow"/>
        </w:rPr>
        <w:t>PPPs</w:t>
      </w:r>
      <w:bookmarkStart w:id="19" w:name="_Hlk155624328"/>
      <w:bookmarkStart w:id="20" w:name="_Hlk155625354"/>
      <w:r w:rsidR="0088625D" w:rsidRPr="0088625D">
        <w:rPr>
          <w:i/>
          <w:iCs/>
          <w:sz w:val="22"/>
          <w:szCs w:val="22"/>
          <w:highlight w:val="yellow"/>
        </w:rPr>
        <w:t>.   Also, edit the heading, as appropriate</w:t>
      </w:r>
      <w:bookmarkEnd w:id="19"/>
      <w:r w:rsidR="0088625D" w:rsidRPr="0088625D">
        <w:rPr>
          <w:i/>
          <w:iCs/>
          <w:sz w:val="22"/>
          <w:szCs w:val="22"/>
          <w:highlight w:val="yellow"/>
        </w:rPr>
        <w:t>.)</w:t>
      </w:r>
      <w:bookmarkEnd w:id="20"/>
    </w:p>
    <w:p w14:paraId="43190D59" w14:textId="77777777" w:rsidR="00F4016C" w:rsidRDefault="00F4016C" w:rsidP="00F4016C">
      <w:pPr>
        <w:jc w:val="both"/>
        <w:rPr>
          <w:b/>
          <w:i/>
          <w:sz w:val="22"/>
          <w:szCs w:val="22"/>
        </w:rPr>
      </w:pPr>
    </w:p>
    <w:p w14:paraId="3321ED71" w14:textId="77777777" w:rsidR="00F4016C" w:rsidRPr="00960F23" w:rsidRDefault="00F4016C" w:rsidP="00F4016C">
      <w:pPr>
        <w:jc w:val="both"/>
        <w:rPr>
          <w:bCs/>
          <w:iCs/>
          <w:sz w:val="22"/>
          <w:szCs w:val="22"/>
        </w:rPr>
      </w:pPr>
      <w:r w:rsidRPr="00960F23">
        <w:rPr>
          <w:bCs/>
          <w:iCs/>
          <w:sz w:val="22"/>
          <w:szCs w:val="22"/>
          <w:highlight w:val="yellow"/>
        </w:rPr>
        <w:t>Also, include any related capital asset disclosures in the capital asset section of the SSAP or in the Capital Asset Note.</w:t>
      </w:r>
    </w:p>
    <w:p w14:paraId="06D77E9F" w14:textId="77777777" w:rsidR="00B15968" w:rsidRPr="00ED3B48" w:rsidRDefault="00B15968" w:rsidP="00533678">
      <w:pPr>
        <w:widowControl/>
        <w:jc w:val="both"/>
        <w:rPr>
          <w:sz w:val="22"/>
          <w:szCs w:val="22"/>
        </w:rPr>
      </w:pPr>
    </w:p>
    <w:p w14:paraId="51C6BBAB" w14:textId="77777777" w:rsidR="00ED3B48" w:rsidRPr="005374C3" w:rsidRDefault="00ED3B48" w:rsidP="00533678">
      <w:pPr>
        <w:widowControl/>
        <w:jc w:val="both"/>
        <w:rPr>
          <w:b/>
          <w:i/>
          <w:sz w:val="22"/>
          <w:szCs w:val="22"/>
        </w:rPr>
      </w:pPr>
      <w:r w:rsidRPr="005374C3">
        <w:rPr>
          <w:b/>
          <w:i/>
          <w:sz w:val="22"/>
          <w:szCs w:val="22"/>
        </w:rPr>
        <w:t xml:space="preserve">Net </w:t>
      </w:r>
      <w:r>
        <w:rPr>
          <w:b/>
          <w:i/>
          <w:sz w:val="22"/>
          <w:szCs w:val="22"/>
        </w:rPr>
        <w:t>Position</w:t>
      </w:r>
    </w:p>
    <w:p w14:paraId="501A715A" w14:textId="77777777" w:rsidR="00ED3B48" w:rsidRPr="005374C3" w:rsidRDefault="00ED3B48" w:rsidP="00533678">
      <w:pPr>
        <w:widowControl/>
        <w:jc w:val="both"/>
        <w:rPr>
          <w:sz w:val="22"/>
          <w:szCs w:val="22"/>
        </w:rPr>
      </w:pPr>
    </w:p>
    <w:p w14:paraId="217B688F" w14:textId="77777777" w:rsidR="00ED3B48" w:rsidRPr="005374C3" w:rsidRDefault="00ED3B48" w:rsidP="00533678">
      <w:pPr>
        <w:widowControl/>
        <w:jc w:val="both"/>
        <w:rPr>
          <w:sz w:val="22"/>
          <w:szCs w:val="22"/>
        </w:rPr>
      </w:pPr>
      <w:r w:rsidRPr="00ED3B48">
        <w:rPr>
          <w:sz w:val="22"/>
          <w:szCs w:val="22"/>
          <w:highlight w:val="green"/>
        </w:rPr>
        <w:t xml:space="preserve">Net investment in capital assets consists of capital assets, net of accumulated depreciation, reduced by the outstanding balances of any borrowings used for the acquisition, construction, or improvement of those assets.  </w:t>
      </w:r>
      <w:r w:rsidRPr="0050650A">
        <w:rPr>
          <w:sz w:val="22"/>
          <w:szCs w:val="22"/>
          <w:highlight w:val="yellow"/>
        </w:rPr>
        <w:t>(Delete if none reported.)</w:t>
      </w:r>
      <w:r w:rsidRPr="005374C3">
        <w:rPr>
          <w:i/>
          <w:sz w:val="22"/>
          <w:szCs w:val="22"/>
        </w:rPr>
        <w:t xml:space="preserve">  </w:t>
      </w:r>
      <w:r w:rsidRPr="005374C3">
        <w:rPr>
          <w:sz w:val="22"/>
          <w:szCs w:val="22"/>
        </w:rPr>
        <w:t xml:space="preserve">Net </w:t>
      </w:r>
      <w:r>
        <w:rPr>
          <w:sz w:val="22"/>
          <w:szCs w:val="22"/>
        </w:rPr>
        <w:t>position is</w:t>
      </w:r>
      <w:r w:rsidRPr="005374C3">
        <w:rPr>
          <w:sz w:val="22"/>
          <w:szCs w:val="22"/>
        </w:rPr>
        <w:t xml:space="preserve"> reported as restricted when there are limitations imposed on their use either through enabling legislation or through external restrictions imposed by creditors, grantors, or laws or regulations of other governments.  Net </w:t>
      </w:r>
      <w:r>
        <w:rPr>
          <w:sz w:val="22"/>
          <w:szCs w:val="22"/>
        </w:rPr>
        <w:t>position</w:t>
      </w:r>
      <w:r w:rsidRPr="005374C3">
        <w:rPr>
          <w:sz w:val="22"/>
          <w:szCs w:val="22"/>
        </w:rPr>
        <w:t xml:space="preserve"> restricted for other purposes include resources restricted for </w:t>
      </w:r>
      <w:r w:rsidRPr="00ED3B48">
        <w:rPr>
          <w:sz w:val="22"/>
          <w:szCs w:val="22"/>
          <w:highlight w:val="green"/>
        </w:rPr>
        <w:t>[describe most significant purposes included in other purposes]</w:t>
      </w:r>
      <w:r w:rsidRPr="0050650A">
        <w:rPr>
          <w:sz w:val="22"/>
          <w:szCs w:val="22"/>
        </w:rPr>
        <w:t>.</w:t>
      </w:r>
    </w:p>
    <w:p w14:paraId="1666E7C8" w14:textId="77777777" w:rsidR="00ED3B48" w:rsidRPr="005374C3" w:rsidRDefault="00ED3B48" w:rsidP="00533678">
      <w:pPr>
        <w:widowControl/>
        <w:jc w:val="both"/>
        <w:rPr>
          <w:sz w:val="22"/>
          <w:szCs w:val="22"/>
        </w:rPr>
      </w:pPr>
    </w:p>
    <w:p w14:paraId="04D68F1E" w14:textId="77777777" w:rsidR="00ED3B48" w:rsidRPr="00ED3B48" w:rsidRDefault="00ED3B48" w:rsidP="00533678">
      <w:pPr>
        <w:widowControl/>
        <w:jc w:val="both"/>
        <w:rPr>
          <w:sz w:val="22"/>
          <w:szCs w:val="22"/>
          <w:highlight w:val="green"/>
        </w:rPr>
      </w:pPr>
      <w:r w:rsidRPr="00ED3B48">
        <w:rPr>
          <w:sz w:val="22"/>
          <w:szCs w:val="22"/>
          <w:highlight w:val="green"/>
        </w:rPr>
        <w:t xml:space="preserve">The Library’s policy is to first apply restricted resources when an obligation is incurred for purposes for which both restricted and unrestricted net position are available. </w:t>
      </w:r>
      <w:r w:rsidRPr="0050650A">
        <w:rPr>
          <w:sz w:val="22"/>
          <w:szCs w:val="22"/>
          <w:highlight w:val="yellow"/>
        </w:rPr>
        <w:t>(Modify as needed)</w:t>
      </w:r>
    </w:p>
    <w:p w14:paraId="363D32DD" w14:textId="77777777" w:rsidR="00ED3B48" w:rsidRPr="00ED3B48" w:rsidRDefault="00ED3B48" w:rsidP="00533678">
      <w:pPr>
        <w:widowControl/>
        <w:jc w:val="both"/>
        <w:rPr>
          <w:sz w:val="22"/>
          <w:szCs w:val="22"/>
          <w:highlight w:val="green"/>
        </w:rPr>
      </w:pPr>
    </w:p>
    <w:p w14:paraId="64D50E44" w14:textId="77777777" w:rsidR="00CD7743" w:rsidRDefault="00CD7743" w:rsidP="00533678">
      <w:pPr>
        <w:widowControl/>
        <w:jc w:val="both"/>
        <w:rPr>
          <w:b/>
          <w:i/>
          <w:sz w:val="22"/>
          <w:szCs w:val="22"/>
        </w:rPr>
      </w:pPr>
      <w:r>
        <w:rPr>
          <w:b/>
          <w:i/>
          <w:sz w:val="22"/>
          <w:szCs w:val="22"/>
        </w:rPr>
        <w:t>Fund Balance</w:t>
      </w:r>
    </w:p>
    <w:p w14:paraId="5C913991" w14:textId="77777777" w:rsidR="00501291" w:rsidRDefault="00501291" w:rsidP="00533678">
      <w:pPr>
        <w:widowControl/>
        <w:tabs>
          <w:tab w:val="left" w:pos="540"/>
        </w:tabs>
        <w:jc w:val="both"/>
        <w:rPr>
          <w:i/>
          <w:sz w:val="22"/>
          <w:szCs w:val="22"/>
          <w:highlight w:val="yellow"/>
        </w:rPr>
      </w:pPr>
    </w:p>
    <w:p w14:paraId="4A5A5AF9" w14:textId="42005AB2" w:rsidR="00501291" w:rsidRPr="000C60F0" w:rsidRDefault="00AB1507" w:rsidP="00533678">
      <w:pPr>
        <w:widowControl/>
        <w:tabs>
          <w:tab w:val="left" w:pos="540"/>
        </w:tabs>
        <w:jc w:val="both"/>
        <w:rPr>
          <w:b/>
          <w:bCs/>
          <w:iCs/>
          <w:sz w:val="22"/>
          <w:szCs w:val="22"/>
        </w:rPr>
      </w:pPr>
      <w:r w:rsidRPr="00BD4D37">
        <w:rPr>
          <w:i/>
          <w:sz w:val="22"/>
          <w:szCs w:val="22"/>
          <w:highlight w:val="cyan"/>
        </w:rPr>
        <w:t>[Review GASB Codification Section 1800, Classification and Terminology, paragraphs .166 -.184, for guidance.]</w:t>
      </w:r>
    </w:p>
    <w:p w14:paraId="0760E07F" w14:textId="77777777" w:rsidR="00CD7743" w:rsidRDefault="00CD7743" w:rsidP="00533678">
      <w:pPr>
        <w:widowControl/>
        <w:jc w:val="both"/>
        <w:rPr>
          <w:b/>
          <w:i/>
          <w:sz w:val="22"/>
          <w:szCs w:val="22"/>
        </w:rPr>
      </w:pPr>
    </w:p>
    <w:p w14:paraId="2A911A0A" w14:textId="77777777" w:rsidR="00CD7743" w:rsidRDefault="00CD7743" w:rsidP="00533678">
      <w:pPr>
        <w:widowControl/>
        <w:rPr>
          <w:sz w:val="22"/>
          <w:szCs w:val="22"/>
        </w:rPr>
      </w:pPr>
      <w:r>
        <w:rPr>
          <w:sz w:val="22"/>
          <w:szCs w:val="22"/>
        </w:rPr>
        <w:t>Fund balance is divided into five classifications based primarily on the extent to which the Library is bound to observe constraints imposed upon the use of the resources in the governmental funds.  The classifications are as follows:</w:t>
      </w:r>
    </w:p>
    <w:p w14:paraId="1BA0CA6D" w14:textId="77777777" w:rsidR="00CD7743" w:rsidRDefault="00CD7743" w:rsidP="00533678">
      <w:pPr>
        <w:widowControl/>
        <w:jc w:val="both"/>
        <w:rPr>
          <w:sz w:val="22"/>
          <w:szCs w:val="22"/>
        </w:rPr>
      </w:pPr>
    </w:p>
    <w:p w14:paraId="02827472" w14:textId="77777777" w:rsidR="00CD7743" w:rsidRDefault="00CD7743" w:rsidP="00533678">
      <w:pPr>
        <w:widowControl/>
        <w:ind w:left="720"/>
        <w:jc w:val="both"/>
        <w:rPr>
          <w:sz w:val="22"/>
          <w:szCs w:val="22"/>
        </w:rPr>
      </w:pPr>
      <w:r w:rsidRPr="00E2135C">
        <w:rPr>
          <w:b/>
          <w:i/>
          <w:sz w:val="22"/>
          <w:szCs w:val="22"/>
        </w:rPr>
        <w:t>Nonspendable</w:t>
      </w:r>
      <w:r>
        <w:rPr>
          <w:i/>
          <w:sz w:val="22"/>
          <w:szCs w:val="22"/>
        </w:rPr>
        <w:t xml:space="preserve">   </w:t>
      </w:r>
      <w:r>
        <w:rPr>
          <w:sz w:val="22"/>
          <w:szCs w:val="22"/>
        </w:rPr>
        <w:t xml:space="preserve">The nonspendable fund balance category includes amounts that cannot be spent because they are not in spendable form, or are legally or contractually required to be maintained intact.  The “not in spendable form” criterion includes items that are </w:t>
      </w:r>
      <w:r w:rsidRPr="00D024F1">
        <w:rPr>
          <w:sz w:val="22"/>
          <w:szCs w:val="22"/>
        </w:rPr>
        <w:t xml:space="preserve">not expected to be converted to cash.  </w:t>
      </w:r>
      <w:r w:rsidRPr="002071D1">
        <w:rPr>
          <w:sz w:val="22"/>
          <w:szCs w:val="22"/>
        </w:rPr>
        <w:t>It also includes the long-term amount of interfund loans</w:t>
      </w:r>
      <w:r w:rsidRPr="00D024F1">
        <w:rPr>
          <w:sz w:val="22"/>
          <w:szCs w:val="22"/>
        </w:rPr>
        <w:t>.</w:t>
      </w:r>
    </w:p>
    <w:p w14:paraId="61B9D968" w14:textId="77777777" w:rsidR="00CD7743" w:rsidRDefault="00CD7743" w:rsidP="00533678">
      <w:pPr>
        <w:widowControl/>
        <w:jc w:val="both"/>
        <w:rPr>
          <w:sz w:val="22"/>
          <w:szCs w:val="22"/>
        </w:rPr>
      </w:pPr>
    </w:p>
    <w:p w14:paraId="074C6B53" w14:textId="0F02C327" w:rsidR="00CD7743" w:rsidRDefault="00CD7743" w:rsidP="008F59A1">
      <w:pPr>
        <w:widowControl/>
        <w:ind w:left="720"/>
        <w:jc w:val="both"/>
        <w:rPr>
          <w:sz w:val="22"/>
          <w:szCs w:val="22"/>
        </w:rPr>
      </w:pPr>
      <w:r w:rsidRPr="00E2135C">
        <w:rPr>
          <w:b/>
          <w:i/>
          <w:sz w:val="22"/>
          <w:szCs w:val="22"/>
        </w:rPr>
        <w:t>Restricted</w:t>
      </w:r>
      <w:r>
        <w:rPr>
          <w:sz w:val="22"/>
          <w:szCs w:val="22"/>
        </w:rPr>
        <w:t xml:space="preserve">   Fund balance is reported as restricted when constraints placed on the use of resources are either externally imposed by creditors (such as through debt covenants), grantors, contributors, or laws or regulations of other governments; or is imposed by law through constitutional provisions</w:t>
      </w:r>
    </w:p>
    <w:p w14:paraId="78055574" w14:textId="77777777" w:rsidR="002071D1" w:rsidRDefault="002071D1" w:rsidP="008F59A1">
      <w:pPr>
        <w:widowControl/>
        <w:ind w:left="720"/>
        <w:jc w:val="both"/>
        <w:rPr>
          <w:sz w:val="22"/>
          <w:szCs w:val="22"/>
        </w:rPr>
      </w:pPr>
    </w:p>
    <w:p w14:paraId="19BDFFA2" w14:textId="77777777" w:rsidR="00CD7743" w:rsidRDefault="00CD7743" w:rsidP="00533678">
      <w:pPr>
        <w:widowControl/>
        <w:ind w:left="720"/>
        <w:jc w:val="both"/>
        <w:rPr>
          <w:sz w:val="22"/>
          <w:szCs w:val="22"/>
        </w:rPr>
      </w:pPr>
      <w:r w:rsidRPr="00E2135C">
        <w:rPr>
          <w:b/>
          <w:i/>
          <w:sz w:val="22"/>
          <w:szCs w:val="22"/>
        </w:rPr>
        <w:t>Committed</w:t>
      </w:r>
      <w:r>
        <w:rPr>
          <w:sz w:val="22"/>
          <w:szCs w:val="22"/>
        </w:rPr>
        <w:t xml:space="preserve">   The committed fund balance classification includes amounts that can be used only for the specific purposes imposed by formal action (resolution) of Library Trustees.  Those committed amounts cannot be used for any other purpose unless the Library Trustees remove or change the specified use by taking the same type of action (resolution) it employed to previously commit those amounts.  Committed fund balance also incorporates contractual obligations to the extent that existing resources in the fund have been specifically committed for use in satisfying those contractual requirements.</w:t>
      </w:r>
    </w:p>
    <w:p w14:paraId="2904B156" w14:textId="77777777" w:rsidR="00CD7743" w:rsidRDefault="00CD7743" w:rsidP="00533678">
      <w:pPr>
        <w:widowControl/>
        <w:ind w:left="720"/>
        <w:jc w:val="both"/>
        <w:rPr>
          <w:sz w:val="22"/>
          <w:szCs w:val="22"/>
        </w:rPr>
      </w:pPr>
    </w:p>
    <w:p w14:paraId="3413EEA9" w14:textId="77777777" w:rsidR="00CD7743" w:rsidRDefault="00CD7743" w:rsidP="00533678">
      <w:pPr>
        <w:widowControl/>
        <w:ind w:left="720"/>
        <w:jc w:val="both"/>
        <w:rPr>
          <w:sz w:val="22"/>
          <w:szCs w:val="22"/>
        </w:rPr>
      </w:pPr>
      <w:r w:rsidRPr="00E2135C">
        <w:rPr>
          <w:b/>
          <w:i/>
          <w:sz w:val="22"/>
          <w:szCs w:val="22"/>
        </w:rPr>
        <w:lastRenderedPageBreak/>
        <w:t>Assigned</w:t>
      </w:r>
      <w:r>
        <w:rPr>
          <w:sz w:val="22"/>
          <w:szCs w:val="22"/>
        </w:rPr>
        <w:t xml:space="preserve">   Amounts in the assigned fund balance classification are intended to be used by the Library for specific purposes but do not meet the criteria to be classified as restricted or committed.  In governmental funds other than the general fund, assigned fund balance represents the remaining amount that is not restricted or committed.  In the general fund, assigned amounts represent intended uses established by the Library Trustees or a Library official delegated that authority by resolution, or by State Statute.</w:t>
      </w:r>
      <w:r w:rsidR="00ED3B48" w:rsidRPr="00ED3B48">
        <w:rPr>
          <w:sz w:val="22"/>
          <w:szCs w:val="22"/>
        </w:rPr>
        <w:t xml:space="preserve"> </w:t>
      </w:r>
      <w:r w:rsidR="00ED3B48">
        <w:rPr>
          <w:sz w:val="22"/>
          <w:szCs w:val="22"/>
        </w:rPr>
        <w:t xml:space="preserve"> </w:t>
      </w:r>
      <w:r w:rsidR="00ED3B48" w:rsidRPr="00544002">
        <w:rPr>
          <w:sz w:val="22"/>
          <w:szCs w:val="22"/>
        </w:rPr>
        <w:t xml:space="preserve">State Statute authorizes the </w:t>
      </w:r>
      <w:r w:rsidR="00ED3B48">
        <w:rPr>
          <w:sz w:val="22"/>
          <w:szCs w:val="22"/>
        </w:rPr>
        <w:t xml:space="preserve">Library </w:t>
      </w:r>
      <w:r w:rsidR="00ED3B48" w:rsidRPr="003407B0">
        <w:rPr>
          <w:sz w:val="22"/>
          <w:szCs w:val="22"/>
          <w:highlight w:val="green"/>
        </w:rPr>
        <w:t>Clerk</w:t>
      </w:r>
      <w:r w:rsidR="003407B0" w:rsidRPr="003407B0">
        <w:rPr>
          <w:sz w:val="22"/>
          <w:szCs w:val="22"/>
          <w:highlight w:val="green"/>
        </w:rPr>
        <w:t>/Treasurer</w:t>
      </w:r>
      <w:r w:rsidR="00ED3B48" w:rsidRPr="00544002">
        <w:rPr>
          <w:sz w:val="22"/>
          <w:szCs w:val="22"/>
        </w:rPr>
        <w:t xml:space="preserve"> to assign fund balance for purchases on order provided such amounts have been lawfully appropriated.</w:t>
      </w:r>
    </w:p>
    <w:p w14:paraId="7BB788A1" w14:textId="77777777" w:rsidR="00CD7743" w:rsidRDefault="00CD7743" w:rsidP="00533678">
      <w:pPr>
        <w:widowControl/>
        <w:ind w:left="720"/>
        <w:jc w:val="both"/>
        <w:rPr>
          <w:sz w:val="22"/>
          <w:szCs w:val="22"/>
        </w:rPr>
      </w:pPr>
    </w:p>
    <w:p w14:paraId="4B019461" w14:textId="77777777" w:rsidR="00CD7743" w:rsidRDefault="00CD7743" w:rsidP="00533678">
      <w:pPr>
        <w:widowControl/>
        <w:ind w:left="720"/>
        <w:jc w:val="both"/>
        <w:rPr>
          <w:sz w:val="22"/>
          <w:szCs w:val="22"/>
        </w:rPr>
      </w:pPr>
      <w:r w:rsidRPr="00E2135C">
        <w:rPr>
          <w:b/>
          <w:i/>
          <w:sz w:val="22"/>
          <w:szCs w:val="22"/>
        </w:rPr>
        <w:t>Unassigned</w:t>
      </w:r>
      <w:r>
        <w:rPr>
          <w:sz w:val="22"/>
          <w:szCs w:val="22"/>
        </w:rPr>
        <w:t xml:space="preserve">   </w:t>
      </w:r>
      <w:proofErr w:type="spellStart"/>
      <w:r>
        <w:rPr>
          <w:sz w:val="22"/>
          <w:szCs w:val="22"/>
        </w:rPr>
        <w:t>Unassigned</w:t>
      </w:r>
      <w:proofErr w:type="spellEnd"/>
      <w:r>
        <w:rPr>
          <w:sz w:val="22"/>
          <w:szCs w:val="22"/>
        </w:rPr>
        <w:t xml:space="preserve"> fund balance is the residual classification for the general fund and includes amounts not contained in the other classifications.  In other governmental funds, the unassigned classification is used only to report a deficit balance.</w:t>
      </w:r>
    </w:p>
    <w:p w14:paraId="16A62BE0" w14:textId="77777777" w:rsidR="003407B0" w:rsidRDefault="003407B0" w:rsidP="00533678">
      <w:pPr>
        <w:widowControl/>
        <w:ind w:left="720"/>
        <w:jc w:val="both"/>
        <w:rPr>
          <w:sz w:val="22"/>
          <w:szCs w:val="22"/>
        </w:rPr>
      </w:pPr>
    </w:p>
    <w:p w14:paraId="7FEDF3A8" w14:textId="77777777" w:rsidR="00CD7743" w:rsidRPr="00617537" w:rsidRDefault="00CD7743" w:rsidP="00533678">
      <w:pPr>
        <w:widowControl/>
        <w:jc w:val="both"/>
        <w:rPr>
          <w:sz w:val="22"/>
          <w:szCs w:val="22"/>
        </w:rPr>
      </w:pPr>
      <w:r>
        <w:rPr>
          <w:sz w:val="22"/>
          <w:szCs w:val="22"/>
        </w:rPr>
        <w:t>The Library applies restricted resources first when expenditures are incurred for purposes for which either restricted or unrestricted (committed, assigned, and unassigned) amounts are available.  Similarly, within unrestricted fund balance, committed amounts are reduced first followed by assigned, and then unassigned amounts when expenditures are incurred for purposes for which amounts in any of the unrestricted fund balance classifications could be used.</w:t>
      </w:r>
    </w:p>
    <w:p w14:paraId="66A97894" w14:textId="77777777" w:rsidR="00CD7743" w:rsidRDefault="00CD7743" w:rsidP="00533678">
      <w:pPr>
        <w:widowControl/>
        <w:jc w:val="both"/>
        <w:rPr>
          <w:b/>
          <w:i/>
          <w:sz w:val="22"/>
          <w:szCs w:val="22"/>
        </w:rPr>
      </w:pPr>
    </w:p>
    <w:p w14:paraId="0E83AC0C" w14:textId="77777777" w:rsidR="009E71CD" w:rsidRPr="005374C3" w:rsidRDefault="009E71CD" w:rsidP="00533678">
      <w:pPr>
        <w:widowControl/>
        <w:jc w:val="both"/>
        <w:rPr>
          <w:b/>
          <w:i/>
          <w:sz w:val="22"/>
          <w:szCs w:val="22"/>
        </w:rPr>
      </w:pPr>
      <w:r w:rsidRPr="005374C3">
        <w:rPr>
          <w:b/>
          <w:i/>
          <w:sz w:val="22"/>
          <w:szCs w:val="22"/>
        </w:rPr>
        <w:t>Inter</w:t>
      </w:r>
      <w:r w:rsidR="00ED3B48">
        <w:rPr>
          <w:b/>
          <w:i/>
          <w:sz w:val="22"/>
          <w:szCs w:val="22"/>
        </w:rPr>
        <w:t>nal Activity</w:t>
      </w:r>
    </w:p>
    <w:p w14:paraId="6C6BF983" w14:textId="77777777" w:rsidR="009E71CD" w:rsidRPr="005374C3" w:rsidRDefault="009E71CD" w:rsidP="00533678">
      <w:pPr>
        <w:widowControl/>
        <w:jc w:val="both"/>
        <w:rPr>
          <w:sz w:val="22"/>
          <w:szCs w:val="22"/>
        </w:rPr>
      </w:pPr>
    </w:p>
    <w:p w14:paraId="054FF66D" w14:textId="77777777" w:rsidR="00ED3B48" w:rsidRPr="005374C3" w:rsidRDefault="00ED3B48" w:rsidP="00533678">
      <w:pPr>
        <w:widowControl/>
        <w:jc w:val="both"/>
        <w:rPr>
          <w:sz w:val="22"/>
          <w:szCs w:val="22"/>
        </w:rPr>
      </w:pPr>
      <w:r w:rsidRPr="002071D1">
        <w:rPr>
          <w:sz w:val="22"/>
          <w:szCs w:val="22"/>
        </w:rPr>
        <w:t>Transfers between governmental and business-type activities on the government-wide financial statements are reported in the same manner as general receipts</w:t>
      </w:r>
      <w:r w:rsidRPr="008F59A1">
        <w:rPr>
          <w:sz w:val="22"/>
          <w:szCs w:val="22"/>
        </w:rPr>
        <w:t>.</w:t>
      </w:r>
    </w:p>
    <w:p w14:paraId="67AD735C" w14:textId="77777777" w:rsidR="00ED3B48" w:rsidRPr="005374C3" w:rsidRDefault="00ED3B48" w:rsidP="00533678">
      <w:pPr>
        <w:widowControl/>
        <w:jc w:val="both"/>
        <w:rPr>
          <w:sz w:val="22"/>
          <w:szCs w:val="22"/>
        </w:rPr>
      </w:pPr>
    </w:p>
    <w:p w14:paraId="042F805E" w14:textId="77777777" w:rsidR="00D02870" w:rsidRPr="00D02870" w:rsidRDefault="00D02870" w:rsidP="00533678">
      <w:pPr>
        <w:widowControl/>
        <w:jc w:val="both"/>
        <w:rPr>
          <w:sz w:val="22"/>
          <w:szCs w:val="22"/>
        </w:rPr>
      </w:pPr>
      <w:r w:rsidRPr="00D02870">
        <w:rPr>
          <w:sz w:val="22"/>
          <w:szCs w:val="22"/>
        </w:rPr>
        <w:t>Internal allocations of overhead expenses from one function to another or within the same function are eliminated on the Statement of Activities. Payments for interfund services provided and used are not eliminated.</w:t>
      </w:r>
    </w:p>
    <w:p w14:paraId="2D5C57DD" w14:textId="77777777" w:rsidR="00D02870" w:rsidRPr="00D02870" w:rsidRDefault="00D02870" w:rsidP="00533678">
      <w:pPr>
        <w:widowControl/>
        <w:jc w:val="both"/>
        <w:rPr>
          <w:sz w:val="22"/>
          <w:szCs w:val="22"/>
        </w:rPr>
      </w:pPr>
    </w:p>
    <w:p w14:paraId="4AA37839" w14:textId="77777777" w:rsidR="00D02870" w:rsidRPr="00D02870" w:rsidRDefault="00D02870" w:rsidP="00533678">
      <w:pPr>
        <w:widowControl/>
        <w:jc w:val="both"/>
        <w:rPr>
          <w:sz w:val="22"/>
          <w:szCs w:val="22"/>
        </w:rPr>
      </w:pPr>
      <w:r w:rsidRPr="00D02870">
        <w:rPr>
          <w:sz w:val="22"/>
          <w:szCs w:val="22"/>
        </w:rPr>
        <w:t xml:space="preserve">Exchange transactions between funds are reported as receipts in the seller funds and as disbursements in the purchaser funds.  Subsidies from one fund to another without a requirement for repayment are reported as interfund transfers.  Interfund transfers are reported as other financing sources/uses in governmental funds and after nonoperating receipts/disbursements in proprietary funds.  Repayments from funds responsible for </w:t>
      </w:r>
      <w:proofErr w:type="gramStart"/>
      <w:r w:rsidRPr="00D02870">
        <w:rPr>
          <w:sz w:val="22"/>
          <w:szCs w:val="22"/>
        </w:rPr>
        <w:t>particular disbursements</w:t>
      </w:r>
      <w:proofErr w:type="gramEnd"/>
      <w:r w:rsidRPr="00D02870">
        <w:rPr>
          <w:sz w:val="22"/>
          <w:szCs w:val="22"/>
        </w:rPr>
        <w:t xml:space="preserve"> to the funds that initially paid for them are not presented in the financial statements.</w:t>
      </w:r>
    </w:p>
    <w:p w14:paraId="7C4812B9" w14:textId="77777777" w:rsidR="00D02870" w:rsidRPr="005374C3" w:rsidRDefault="00D02870" w:rsidP="00533678">
      <w:pPr>
        <w:widowControl/>
        <w:jc w:val="both"/>
        <w:rPr>
          <w:sz w:val="22"/>
          <w:szCs w:val="22"/>
        </w:rPr>
      </w:pPr>
    </w:p>
    <w:p w14:paraId="7403323F" w14:textId="77777777" w:rsidR="00DD1972" w:rsidRPr="005374C3" w:rsidRDefault="00DD1972" w:rsidP="00533678">
      <w:pPr>
        <w:widowControl/>
        <w:jc w:val="both"/>
        <w:rPr>
          <w:b/>
          <w:i/>
          <w:sz w:val="22"/>
          <w:szCs w:val="22"/>
        </w:rPr>
      </w:pPr>
      <w:r w:rsidRPr="005374C3">
        <w:rPr>
          <w:b/>
          <w:i/>
          <w:sz w:val="22"/>
          <w:szCs w:val="22"/>
        </w:rPr>
        <w:t>Extraordinary and Special Items</w:t>
      </w:r>
    </w:p>
    <w:p w14:paraId="39ABA295" w14:textId="77777777" w:rsidR="00DD1972" w:rsidRPr="005374C3" w:rsidRDefault="00DD1972" w:rsidP="00533678">
      <w:pPr>
        <w:widowControl/>
        <w:jc w:val="both"/>
        <w:rPr>
          <w:sz w:val="22"/>
          <w:szCs w:val="22"/>
          <w:u w:val="single"/>
        </w:rPr>
      </w:pPr>
    </w:p>
    <w:p w14:paraId="0889062C" w14:textId="77777777" w:rsidR="00DD1972" w:rsidRPr="005374C3" w:rsidRDefault="00DD1972" w:rsidP="00533678">
      <w:pPr>
        <w:widowControl/>
        <w:jc w:val="both"/>
        <w:rPr>
          <w:sz w:val="22"/>
          <w:szCs w:val="22"/>
        </w:rPr>
      </w:pPr>
      <w:r w:rsidRPr="003407B0">
        <w:rPr>
          <w:sz w:val="22"/>
          <w:szCs w:val="22"/>
          <w:highlight w:val="yellow"/>
        </w:rPr>
        <w:t>(Delete if none.)</w:t>
      </w:r>
      <w:r w:rsidRPr="005374C3">
        <w:rPr>
          <w:i/>
          <w:sz w:val="22"/>
          <w:szCs w:val="22"/>
        </w:rPr>
        <w:t xml:space="preserve">  </w:t>
      </w:r>
      <w:r w:rsidRPr="005374C3">
        <w:rPr>
          <w:sz w:val="22"/>
          <w:szCs w:val="22"/>
        </w:rPr>
        <w:t xml:space="preserve">Extraordinary items are transactions or events that are both unusual in nature and infrequent in occurrence.  Special items are transactions or events that are within the control of management and are either unusual in nature or infrequent in occurrence.  </w:t>
      </w:r>
    </w:p>
    <w:p w14:paraId="0BBE89DF" w14:textId="77777777" w:rsidR="00733446" w:rsidRPr="005374C3" w:rsidRDefault="00733446" w:rsidP="00533678">
      <w:pPr>
        <w:widowControl/>
        <w:jc w:val="both"/>
        <w:rPr>
          <w:b/>
          <w:sz w:val="22"/>
          <w:szCs w:val="22"/>
          <w:u w:val="single"/>
        </w:rPr>
      </w:pPr>
    </w:p>
    <w:p w14:paraId="27BBF938" w14:textId="63FB7582" w:rsidR="00DD1972" w:rsidRDefault="00DD1972" w:rsidP="00533678">
      <w:pPr>
        <w:widowControl/>
        <w:jc w:val="both"/>
        <w:rPr>
          <w:b/>
          <w:i/>
          <w:sz w:val="22"/>
          <w:szCs w:val="22"/>
        </w:rPr>
      </w:pPr>
      <w:r w:rsidRPr="005374C3">
        <w:rPr>
          <w:b/>
          <w:i/>
          <w:sz w:val="22"/>
          <w:szCs w:val="22"/>
        </w:rPr>
        <w:t>Estimates</w:t>
      </w:r>
    </w:p>
    <w:p w14:paraId="71549E93" w14:textId="77777777" w:rsidR="00733446" w:rsidRPr="005374C3" w:rsidRDefault="00733446" w:rsidP="00533678">
      <w:pPr>
        <w:widowControl/>
        <w:jc w:val="both"/>
        <w:rPr>
          <w:b/>
          <w:i/>
          <w:sz w:val="22"/>
          <w:szCs w:val="22"/>
        </w:rPr>
      </w:pPr>
    </w:p>
    <w:p w14:paraId="5654674F" w14:textId="77777777" w:rsidR="00DD1972" w:rsidRPr="005374C3" w:rsidRDefault="00DD1972" w:rsidP="00533678">
      <w:pPr>
        <w:widowControl/>
        <w:jc w:val="both"/>
        <w:rPr>
          <w:sz w:val="22"/>
          <w:szCs w:val="22"/>
        </w:rPr>
      </w:pPr>
      <w:r w:rsidRPr="003407B0">
        <w:rPr>
          <w:sz w:val="22"/>
          <w:szCs w:val="22"/>
          <w:highlight w:val="yellow"/>
        </w:rPr>
        <w:t>(Delete if none.)</w:t>
      </w:r>
      <w:r w:rsidRPr="005374C3">
        <w:rPr>
          <w:i/>
          <w:sz w:val="22"/>
          <w:szCs w:val="22"/>
        </w:rPr>
        <w:t xml:space="preserve">  </w:t>
      </w:r>
      <w:r w:rsidRPr="005374C3">
        <w:rPr>
          <w:sz w:val="22"/>
          <w:szCs w:val="22"/>
        </w:rPr>
        <w:t xml:space="preserve">The </w:t>
      </w:r>
      <w:r w:rsidRPr="00ED3B48">
        <w:rPr>
          <w:sz w:val="22"/>
          <w:szCs w:val="22"/>
          <w:highlight w:val="green"/>
        </w:rPr>
        <w:t>modified</w:t>
      </w:r>
      <w:r w:rsidRPr="005374C3">
        <w:rPr>
          <w:sz w:val="22"/>
          <w:szCs w:val="22"/>
        </w:rPr>
        <w:t xml:space="preserve"> cash basis of accounting used by the Library requires management to make estimates and assumptions that affect certain reported amounts and disclosures (such as estimated useful lives in determining depreciation expense); accordingly, actual results could differ from those estimates.</w:t>
      </w:r>
    </w:p>
    <w:p w14:paraId="39B7CD11" w14:textId="77777777" w:rsidR="00807281" w:rsidRDefault="00807281" w:rsidP="00533678">
      <w:pPr>
        <w:widowControl/>
        <w:jc w:val="both"/>
        <w:rPr>
          <w:b/>
          <w:sz w:val="24"/>
          <w:szCs w:val="24"/>
        </w:rPr>
      </w:pPr>
    </w:p>
    <w:p w14:paraId="737FF2B3" w14:textId="77777777" w:rsidR="00D04FBF" w:rsidRDefault="00D04FBF" w:rsidP="00533678">
      <w:pPr>
        <w:widowControl/>
        <w:jc w:val="both"/>
        <w:rPr>
          <w:b/>
          <w:sz w:val="24"/>
          <w:szCs w:val="24"/>
        </w:rPr>
      </w:pPr>
    </w:p>
    <w:p w14:paraId="12EA8A2F" w14:textId="77777777" w:rsidR="00D04FBF" w:rsidRDefault="00D04FBF" w:rsidP="00533678">
      <w:pPr>
        <w:widowControl/>
        <w:jc w:val="both"/>
        <w:rPr>
          <w:b/>
          <w:sz w:val="24"/>
          <w:szCs w:val="24"/>
        </w:rPr>
      </w:pPr>
    </w:p>
    <w:p w14:paraId="58D4E405" w14:textId="77777777" w:rsidR="00D04FBF" w:rsidRDefault="00D04FBF" w:rsidP="00533678">
      <w:pPr>
        <w:widowControl/>
        <w:jc w:val="both"/>
        <w:rPr>
          <w:b/>
          <w:sz w:val="24"/>
          <w:szCs w:val="24"/>
        </w:rPr>
      </w:pPr>
    </w:p>
    <w:p w14:paraId="7EEDCDAB" w14:textId="77777777" w:rsidR="00D04FBF" w:rsidRDefault="00D04FBF" w:rsidP="00533678">
      <w:pPr>
        <w:widowControl/>
        <w:jc w:val="both"/>
        <w:rPr>
          <w:b/>
          <w:sz w:val="24"/>
          <w:szCs w:val="24"/>
        </w:rPr>
      </w:pPr>
    </w:p>
    <w:p w14:paraId="0DBA3AC2" w14:textId="77777777" w:rsidR="00765C98" w:rsidRPr="00B47B9E" w:rsidRDefault="00765C98" w:rsidP="00765C98">
      <w:pPr>
        <w:jc w:val="both"/>
        <w:rPr>
          <w:b/>
          <w:i/>
          <w:iCs/>
          <w:sz w:val="22"/>
          <w:szCs w:val="22"/>
          <w:highlight w:val="cyan"/>
        </w:rPr>
      </w:pPr>
      <w:r w:rsidRPr="00B47B9E">
        <w:rPr>
          <w:b/>
          <w:i/>
          <w:iCs/>
          <w:sz w:val="22"/>
          <w:szCs w:val="22"/>
          <w:highlight w:val="cyan"/>
        </w:rPr>
        <w:lastRenderedPageBreak/>
        <w:t>New Accounting Pronouncements</w:t>
      </w:r>
    </w:p>
    <w:p w14:paraId="3C6CCF30" w14:textId="77777777" w:rsidR="00765C98" w:rsidRPr="00B47B9E" w:rsidRDefault="00765C98" w:rsidP="00765C98">
      <w:pPr>
        <w:jc w:val="both"/>
        <w:rPr>
          <w:b/>
          <w:highlight w:val="cyan"/>
        </w:rPr>
      </w:pPr>
    </w:p>
    <w:p w14:paraId="35552C72" w14:textId="1C9C78DB" w:rsidR="00765C98" w:rsidRPr="00B47B9E" w:rsidRDefault="00765C98" w:rsidP="00765C98">
      <w:pPr>
        <w:pStyle w:val="NormalWeb"/>
        <w:jc w:val="both"/>
        <w:rPr>
          <w:b w:val="0"/>
          <w:i w:val="0"/>
          <w:color w:val="000000"/>
          <w:sz w:val="22"/>
          <w:szCs w:val="22"/>
          <w:highlight w:val="cyan"/>
        </w:rPr>
      </w:pPr>
      <w:r w:rsidRPr="00B47B9E">
        <w:rPr>
          <w:b w:val="0"/>
          <w:i w:val="0"/>
          <w:color w:val="000000"/>
          <w:sz w:val="22"/>
          <w:szCs w:val="22"/>
          <w:highlight w:val="cyan"/>
        </w:rPr>
        <w:t xml:space="preserve">For 2024, GASB Statement No. 100, </w:t>
      </w:r>
      <w:r w:rsidRPr="00B47B9E">
        <w:rPr>
          <w:b w:val="0"/>
          <w:iCs/>
          <w:color w:val="000000"/>
          <w:sz w:val="22"/>
          <w:szCs w:val="22"/>
          <w:highlight w:val="cyan"/>
        </w:rPr>
        <w:t>Accounting Changes and Error Corrections</w:t>
      </w:r>
      <w:r w:rsidRPr="00B47B9E">
        <w:rPr>
          <w:b w:val="0"/>
          <w:i w:val="0"/>
          <w:color w:val="000000"/>
          <w:sz w:val="22"/>
          <w:szCs w:val="22"/>
          <w:highlight w:val="cyan"/>
        </w:rPr>
        <w:t xml:space="preserve"> was effective. This GASB pronouncement had no effect on beginning net position/fund </w:t>
      </w:r>
      <w:bookmarkStart w:id="21" w:name="_Hlk174830722"/>
      <w:r w:rsidRPr="00B47B9E">
        <w:rPr>
          <w:b w:val="0"/>
          <w:i w:val="0"/>
          <w:color w:val="000000"/>
          <w:sz w:val="22"/>
          <w:szCs w:val="22"/>
          <w:highlight w:val="cyan"/>
        </w:rPr>
        <w:t xml:space="preserve">balance as the </w:t>
      </w:r>
      <w:r>
        <w:rPr>
          <w:b w:val="0"/>
          <w:i w:val="0"/>
          <w:color w:val="000000"/>
          <w:sz w:val="22"/>
          <w:szCs w:val="22"/>
          <w:highlight w:val="cyan"/>
        </w:rPr>
        <w:t>Library</w:t>
      </w:r>
      <w:r w:rsidRPr="00B47B9E">
        <w:rPr>
          <w:b w:val="0"/>
          <w:i w:val="0"/>
          <w:color w:val="000000"/>
          <w:sz w:val="22"/>
          <w:szCs w:val="22"/>
          <w:highlight w:val="cyan"/>
        </w:rPr>
        <w:t xml:space="preserve"> had no accounting changes or error corrections related to 2024. </w:t>
      </w:r>
      <w:r>
        <w:rPr>
          <w:b w:val="0"/>
          <w:i w:val="0"/>
          <w:color w:val="000000"/>
          <w:sz w:val="22"/>
          <w:szCs w:val="22"/>
          <w:highlight w:val="cyan"/>
        </w:rPr>
        <w:t xml:space="preserve">  See the </w:t>
      </w:r>
      <w:r w:rsidRPr="00F15A12">
        <w:rPr>
          <w:b w:val="0"/>
          <w:iCs/>
          <w:color w:val="000000"/>
          <w:sz w:val="22"/>
          <w:szCs w:val="22"/>
          <w:highlight w:val="cyan"/>
        </w:rPr>
        <w:t>Accumulated Leave</w:t>
      </w:r>
      <w:r>
        <w:rPr>
          <w:b w:val="0"/>
          <w:iCs/>
          <w:color w:val="000000"/>
          <w:sz w:val="22"/>
          <w:szCs w:val="22"/>
          <w:highlight w:val="cyan"/>
        </w:rPr>
        <w:t xml:space="preserve"> </w:t>
      </w:r>
      <w:r w:rsidRPr="00F15A12">
        <w:rPr>
          <w:b w:val="0"/>
          <w:i w:val="0"/>
          <w:color w:val="000000"/>
          <w:sz w:val="22"/>
          <w:szCs w:val="22"/>
          <w:highlight w:val="cyan"/>
        </w:rPr>
        <w:t>section of Note 2</w:t>
      </w:r>
      <w:r>
        <w:rPr>
          <w:b w:val="0"/>
          <w:i w:val="0"/>
          <w:color w:val="000000"/>
          <w:sz w:val="22"/>
          <w:szCs w:val="22"/>
          <w:highlight w:val="cyan"/>
        </w:rPr>
        <w:t xml:space="preserve"> for discussion of the implementation of GASB Statement No. 101, </w:t>
      </w:r>
      <w:r w:rsidRPr="00F15A12">
        <w:rPr>
          <w:b w:val="0"/>
          <w:iCs/>
          <w:color w:val="000000"/>
          <w:sz w:val="22"/>
          <w:szCs w:val="22"/>
          <w:highlight w:val="cyan"/>
        </w:rPr>
        <w:t>Compensated Absences</w:t>
      </w:r>
      <w:r>
        <w:rPr>
          <w:b w:val="0"/>
          <w:i w:val="0"/>
          <w:color w:val="000000"/>
          <w:sz w:val="22"/>
          <w:szCs w:val="22"/>
          <w:highlight w:val="cyan"/>
        </w:rPr>
        <w:t xml:space="preserve">.  </w:t>
      </w:r>
      <w:r w:rsidRPr="00B47B9E">
        <w:rPr>
          <w:b w:val="0"/>
          <w:i w:val="0"/>
          <w:color w:val="000000"/>
          <w:sz w:val="22"/>
          <w:szCs w:val="22"/>
          <w:highlight w:val="cyan"/>
        </w:rPr>
        <w:t>(Edit as needed)</w:t>
      </w:r>
    </w:p>
    <w:bookmarkEnd w:id="21"/>
    <w:p w14:paraId="1F96DA3F" w14:textId="77777777" w:rsidR="00765C98" w:rsidRPr="00B47B9E" w:rsidRDefault="00765C98" w:rsidP="00765C98">
      <w:pPr>
        <w:pStyle w:val="NormalWeb"/>
        <w:jc w:val="both"/>
        <w:rPr>
          <w:b w:val="0"/>
          <w:bCs/>
          <w:i w:val="0"/>
          <w:iCs/>
          <w:color w:val="000000"/>
          <w:sz w:val="22"/>
          <w:szCs w:val="22"/>
          <w:highlight w:val="cyan"/>
        </w:rPr>
      </w:pPr>
    </w:p>
    <w:p w14:paraId="5ED74ED1" w14:textId="647C350F" w:rsidR="00606515" w:rsidRDefault="00765C98" w:rsidP="00765C98">
      <w:pPr>
        <w:widowControl/>
        <w:jc w:val="both"/>
        <w:rPr>
          <w:color w:val="000000"/>
          <w:sz w:val="22"/>
          <w:szCs w:val="22"/>
        </w:rPr>
      </w:pPr>
      <w:r w:rsidRPr="00F15A12">
        <w:rPr>
          <w:bCs/>
          <w:sz w:val="22"/>
          <w:szCs w:val="22"/>
          <w:highlight w:val="yellow"/>
        </w:rPr>
        <w:t>The following is instructional</w:t>
      </w:r>
      <w:r>
        <w:rPr>
          <w:bCs/>
          <w:sz w:val="22"/>
          <w:szCs w:val="22"/>
          <w:highlight w:val="cyan"/>
        </w:rPr>
        <w:t xml:space="preserve">.  </w:t>
      </w:r>
      <w:r w:rsidRPr="00F15A12">
        <w:rPr>
          <w:b/>
          <w:sz w:val="22"/>
          <w:szCs w:val="22"/>
          <w:highlight w:val="cyan"/>
        </w:rPr>
        <w:t>(See also Note 22</w:t>
      </w:r>
      <w:r>
        <w:rPr>
          <w:b/>
          <w:sz w:val="22"/>
          <w:szCs w:val="22"/>
          <w:highlight w:val="cyan"/>
        </w:rPr>
        <w:t xml:space="preserve"> and the Accumulated Leave Section of Note 2</w:t>
      </w:r>
      <w:r w:rsidRPr="00F15A12">
        <w:rPr>
          <w:b/>
          <w:sz w:val="22"/>
          <w:szCs w:val="22"/>
          <w:highlight w:val="cyan"/>
        </w:rPr>
        <w:t xml:space="preserve">—The above presentation </w:t>
      </w:r>
      <w:r>
        <w:rPr>
          <w:b/>
          <w:sz w:val="22"/>
          <w:szCs w:val="22"/>
          <w:highlight w:val="cyan"/>
        </w:rPr>
        <w:t xml:space="preserve">(along with the GASB 101 implementation paragraph in the Accumulated Leave section of Note 2) </w:t>
      </w:r>
      <w:r w:rsidRPr="00F15A12">
        <w:rPr>
          <w:b/>
          <w:sz w:val="22"/>
          <w:szCs w:val="22"/>
          <w:highlight w:val="cyan"/>
        </w:rPr>
        <w:t xml:space="preserve"> is an alternative to Note 22 and should only be used if there w</w:t>
      </w:r>
      <w:r>
        <w:rPr>
          <w:b/>
          <w:sz w:val="22"/>
          <w:szCs w:val="22"/>
          <w:highlight w:val="cyan"/>
        </w:rPr>
        <w:t xml:space="preserve">as no impact to beginning net position/fund balance from implementing GASB 100 and GASB 101 </w:t>
      </w:r>
      <w:r w:rsidRPr="00843DD7">
        <w:rPr>
          <w:b/>
          <w:sz w:val="22"/>
          <w:szCs w:val="22"/>
          <w:highlight w:val="cyan"/>
          <w:u w:val="single"/>
        </w:rPr>
        <w:t>AND</w:t>
      </w:r>
      <w:r>
        <w:rPr>
          <w:b/>
          <w:sz w:val="22"/>
          <w:szCs w:val="22"/>
          <w:highlight w:val="cyan"/>
        </w:rPr>
        <w:t xml:space="preserve"> there w</w:t>
      </w:r>
      <w:r w:rsidRPr="00F15A12">
        <w:rPr>
          <w:b/>
          <w:sz w:val="22"/>
          <w:szCs w:val="22"/>
          <w:highlight w:val="cyan"/>
        </w:rPr>
        <w:t>ere no</w:t>
      </w:r>
      <w:r>
        <w:rPr>
          <w:b/>
          <w:sz w:val="22"/>
          <w:szCs w:val="22"/>
          <w:highlight w:val="cyan"/>
        </w:rPr>
        <w:t xml:space="preserve"> other</w:t>
      </w:r>
      <w:r w:rsidRPr="00F15A12">
        <w:rPr>
          <w:b/>
          <w:sz w:val="22"/>
          <w:szCs w:val="22"/>
          <w:highlight w:val="cyan"/>
        </w:rPr>
        <w:t xml:space="preserve"> accounting changes or error corrections in the year GASB 100 </w:t>
      </w:r>
      <w:r>
        <w:rPr>
          <w:b/>
          <w:sz w:val="22"/>
          <w:szCs w:val="22"/>
          <w:highlight w:val="cyan"/>
        </w:rPr>
        <w:t>and GASB 101 w</w:t>
      </w:r>
      <w:r w:rsidR="003E1671">
        <w:rPr>
          <w:b/>
          <w:sz w:val="22"/>
          <w:szCs w:val="22"/>
          <w:highlight w:val="cyan"/>
        </w:rPr>
        <w:t>ere</w:t>
      </w:r>
      <w:r w:rsidRPr="00F15A12">
        <w:rPr>
          <w:b/>
          <w:sz w:val="22"/>
          <w:szCs w:val="22"/>
          <w:highlight w:val="cyan"/>
        </w:rPr>
        <w:t xml:space="preserve"> implemented</w:t>
      </w:r>
      <w:r>
        <w:rPr>
          <w:b/>
          <w:sz w:val="22"/>
          <w:szCs w:val="22"/>
          <w:highlight w:val="cyan"/>
        </w:rPr>
        <w:t>—including no funds changing between major and nonmajor</w:t>
      </w:r>
      <w:r w:rsidRPr="00F15A12">
        <w:rPr>
          <w:b/>
          <w:sz w:val="22"/>
          <w:szCs w:val="22"/>
          <w:highlight w:val="cyan"/>
        </w:rPr>
        <w:t xml:space="preserve">.  If this note is used, there should not be a Note </w:t>
      </w:r>
      <w:r>
        <w:rPr>
          <w:b/>
          <w:sz w:val="22"/>
          <w:szCs w:val="22"/>
          <w:highlight w:val="cyan"/>
        </w:rPr>
        <w:t>22</w:t>
      </w:r>
      <w:r w:rsidRPr="00F15A12">
        <w:rPr>
          <w:b/>
          <w:sz w:val="22"/>
          <w:szCs w:val="22"/>
          <w:highlight w:val="cyan"/>
        </w:rPr>
        <w:t>.)</w:t>
      </w:r>
    </w:p>
    <w:p w14:paraId="30CB9FDC" w14:textId="77777777" w:rsidR="00C22660" w:rsidRDefault="00C22660" w:rsidP="00606515">
      <w:pPr>
        <w:widowControl/>
        <w:jc w:val="both"/>
        <w:rPr>
          <w:color w:val="000000"/>
          <w:sz w:val="22"/>
          <w:szCs w:val="22"/>
        </w:rPr>
      </w:pPr>
    </w:p>
    <w:p w14:paraId="6F9A6E5B" w14:textId="77777777" w:rsidR="00C22660" w:rsidRDefault="00C22660" w:rsidP="00606515">
      <w:pPr>
        <w:widowControl/>
        <w:jc w:val="both"/>
        <w:rPr>
          <w:b/>
          <w:sz w:val="24"/>
          <w:szCs w:val="24"/>
        </w:rPr>
      </w:pPr>
    </w:p>
    <w:p w14:paraId="7F0C2FEA" w14:textId="17F8AAA9" w:rsidR="00441262" w:rsidRPr="005374C3" w:rsidRDefault="00441262" w:rsidP="00533678">
      <w:pPr>
        <w:widowControl/>
        <w:jc w:val="both"/>
        <w:rPr>
          <w:b/>
          <w:sz w:val="24"/>
          <w:szCs w:val="24"/>
        </w:rPr>
      </w:pPr>
      <w:r w:rsidRPr="005374C3">
        <w:rPr>
          <w:b/>
          <w:sz w:val="24"/>
          <w:szCs w:val="24"/>
        </w:rPr>
        <w:t xml:space="preserve">Note </w:t>
      </w:r>
      <w:r w:rsidR="00ED3B48">
        <w:rPr>
          <w:b/>
          <w:sz w:val="24"/>
          <w:szCs w:val="24"/>
        </w:rPr>
        <w:t>3</w:t>
      </w:r>
      <w:r w:rsidRPr="005374C3">
        <w:rPr>
          <w:b/>
          <w:sz w:val="24"/>
          <w:szCs w:val="24"/>
        </w:rPr>
        <w:t xml:space="preserve"> – Accountability and Compliance</w:t>
      </w:r>
    </w:p>
    <w:p w14:paraId="11972BA2" w14:textId="77777777" w:rsidR="00441262" w:rsidRPr="005374C3" w:rsidRDefault="00441262" w:rsidP="00533678">
      <w:pPr>
        <w:widowControl/>
        <w:jc w:val="both"/>
        <w:rPr>
          <w:sz w:val="22"/>
          <w:szCs w:val="22"/>
        </w:rPr>
      </w:pPr>
    </w:p>
    <w:p w14:paraId="6F7190A2" w14:textId="77777777" w:rsidR="006B0C21" w:rsidRPr="005374C3" w:rsidRDefault="006B0C21" w:rsidP="00533678">
      <w:pPr>
        <w:widowControl/>
        <w:jc w:val="both"/>
        <w:rPr>
          <w:b/>
          <w:i/>
          <w:sz w:val="22"/>
          <w:szCs w:val="22"/>
        </w:rPr>
      </w:pPr>
      <w:r w:rsidRPr="005374C3">
        <w:rPr>
          <w:b/>
          <w:i/>
          <w:sz w:val="22"/>
          <w:szCs w:val="22"/>
        </w:rPr>
        <w:t>Accountability</w:t>
      </w:r>
    </w:p>
    <w:p w14:paraId="72C68C30" w14:textId="77777777" w:rsidR="006B0C21" w:rsidRPr="005374C3" w:rsidRDefault="006B0C21" w:rsidP="00533678">
      <w:pPr>
        <w:widowControl/>
        <w:jc w:val="both"/>
        <w:rPr>
          <w:sz w:val="22"/>
          <w:szCs w:val="22"/>
        </w:rPr>
      </w:pPr>
    </w:p>
    <w:p w14:paraId="45FCF8A9" w14:textId="77777777" w:rsidR="006B0C21" w:rsidRPr="00ED3B48" w:rsidRDefault="006B0C21" w:rsidP="00533678">
      <w:pPr>
        <w:widowControl/>
        <w:jc w:val="both"/>
        <w:rPr>
          <w:sz w:val="22"/>
          <w:szCs w:val="22"/>
        </w:rPr>
      </w:pPr>
      <w:r w:rsidRPr="00ED3B48">
        <w:rPr>
          <w:sz w:val="22"/>
          <w:szCs w:val="22"/>
          <w:highlight w:val="green"/>
        </w:rPr>
        <w:t xml:space="preserve">Describe any deficit fund balances/net </w:t>
      </w:r>
      <w:r w:rsidR="00F15267" w:rsidRPr="00ED3B48">
        <w:rPr>
          <w:sz w:val="22"/>
          <w:szCs w:val="22"/>
          <w:highlight w:val="green"/>
        </w:rPr>
        <w:t>position</w:t>
      </w:r>
      <w:r w:rsidRPr="00ED3B48">
        <w:rPr>
          <w:sz w:val="22"/>
          <w:szCs w:val="22"/>
          <w:highlight w:val="green"/>
        </w:rPr>
        <w:t xml:space="preserve"> and management’s actions taken to address any such deficits.</w:t>
      </w:r>
    </w:p>
    <w:p w14:paraId="14DC428A" w14:textId="77777777" w:rsidR="006B0C21" w:rsidRPr="005374C3" w:rsidRDefault="006B0C21" w:rsidP="00533678">
      <w:pPr>
        <w:widowControl/>
        <w:jc w:val="both"/>
        <w:rPr>
          <w:sz w:val="22"/>
          <w:szCs w:val="22"/>
        </w:rPr>
      </w:pPr>
    </w:p>
    <w:p w14:paraId="60F1651F" w14:textId="77777777" w:rsidR="006B0C21" w:rsidRPr="005374C3" w:rsidRDefault="006B0C21" w:rsidP="00533678">
      <w:pPr>
        <w:widowControl/>
        <w:jc w:val="both"/>
        <w:rPr>
          <w:b/>
          <w:i/>
          <w:sz w:val="22"/>
          <w:szCs w:val="22"/>
        </w:rPr>
      </w:pPr>
      <w:r w:rsidRPr="005374C3">
        <w:rPr>
          <w:b/>
          <w:i/>
          <w:sz w:val="22"/>
          <w:szCs w:val="22"/>
        </w:rPr>
        <w:t>Compliance</w:t>
      </w:r>
    </w:p>
    <w:p w14:paraId="27C150EC" w14:textId="77777777" w:rsidR="006B0C21" w:rsidRPr="005374C3" w:rsidRDefault="006B0C21" w:rsidP="00533678">
      <w:pPr>
        <w:widowControl/>
        <w:jc w:val="both"/>
        <w:rPr>
          <w:sz w:val="22"/>
          <w:szCs w:val="22"/>
        </w:rPr>
      </w:pPr>
    </w:p>
    <w:p w14:paraId="3E4A2E79" w14:textId="77777777" w:rsidR="006B0C21" w:rsidRPr="00ED3B48" w:rsidRDefault="006B0C21" w:rsidP="00533678">
      <w:pPr>
        <w:widowControl/>
        <w:jc w:val="both"/>
        <w:rPr>
          <w:sz w:val="22"/>
          <w:szCs w:val="22"/>
        </w:rPr>
      </w:pPr>
      <w:r w:rsidRPr="00ED3B48">
        <w:rPr>
          <w:sz w:val="22"/>
          <w:szCs w:val="22"/>
          <w:highlight w:val="green"/>
        </w:rPr>
        <w:t>Describe any significant violations of finance-related legal or contractual provisions and management’s actions taken to address such violations.</w:t>
      </w:r>
    </w:p>
    <w:p w14:paraId="3EE5AF66" w14:textId="77777777" w:rsidR="006B0C21" w:rsidRPr="005374C3" w:rsidRDefault="006B0C21" w:rsidP="00533678">
      <w:pPr>
        <w:widowControl/>
        <w:jc w:val="both"/>
        <w:rPr>
          <w:i/>
          <w:sz w:val="22"/>
          <w:szCs w:val="22"/>
        </w:rPr>
      </w:pPr>
    </w:p>
    <w:p w14:paraId="0C86B4EC" w14:textId="77777777" w:rsidR="00441262" w:rsidRPr="00ED3B48" w:rsidRDefault="00441262" w:rsidP="00533678">
      <w:pPr>
        <w:widowControl/>
        <w:jc w:val="both"/>
        <w:rPr>
          <w:i/>
          <w:sz w:val="22"/>
          <w:szCs w:val="22"/>
          <w:highlight w:val="yellow"/>
        </w:rPr>
      </w:pPr>
      <w:r w:rsidRPr="00ED3B48">
        <w:rPr>
          <w:i/>
          <w:sz w:val="22"/>
          <w:szCs w:val="22"/>
          <w:highlight w:val="yellow"/>
        </w:rPr>
        <w:t xml:space="preserve">The notes should disclose significant violations of finance-related legal or contractual provisions.  </w:t>
      </w:r>
      <w:r w:rsidR="00B277E4" w:rsidRPr="00ED3B48">
        <w:rPr>
          <w:i/>
          <w:sz w:val="22"/>
          <w:szCs w:val="22"/>
          <w:highlight w:val="yellow"/>
        </w:rPr>
        <w:t xml:space="preserve">GASB does not define what are considered significant violations, </w:t>
      </w:r>
      <w:r w:rsidRPr="00ED3B48">
        <w:rPr>
          <w:i/>
          <w:sz w:val="22"/>
          <w:szCs w:val="22"/>
          <w:highlight w:val="yellow"/>
        </w:rPr>
        <w:t xml:space="preserve">but other literature </w:t>
      </w:r>
      <w:r w:rsidR="00B277E4" w:rsidRPr="00ED3B48">
        <w:rPr>
          <w:i/>
          <w:sz w:val="22"/>
          <w:szCs w:val="22"/>
          <w:highlight w:val="yellow"/>
        </w:rPr>
        <w:t>provides the following examples:</w:t>
      </w:r>
    </w:p>
    <w:p w14:paraId="26D7858C" w14:textId="77777777" w:rsidR="004E296F" w:rsidRPr="00ED3B48" w:rsidRDefault="004E296F" w:rsidP="00533678">
      <w:pPr>
        <w:widowControl/>
        <w:jc w:val="both"/>
        <w:rPr>
          <w:i/>
          <w:sz w:val="22"/>
          <w:szCs w:val="22"/>
          <w:highlight w:val="yellow"/>
        </w:rPr>
      </w:pPr>
    </w:p>
    <w:p w14:paraId="352B0E19" w14:textId="77777777" w:rsidR="00441262" w:rsidRPr="00ED3B48" w:rsidRDefault="00441262" w:rsidP="00533678">
      <w:pPr>
        <w:widowControl/>
        <w:ind w:left="702"/>
        <w:jc w:val="both"/>
        <w:rPr>
          <w:i/>
          <w:sz w:val="22"/>
          <w:szCs w:val="22"/>
          <w:highlight w:val="yellow"/>
        </w:rPr>
      </w:pPr>
      <w:r w:rsidRPr="00ED3B48">
        <w:rPr>
          <w:i/>
          <w:sz w:val="22"/>
          <w:szCs w:val="22"/>
          <w:highlight w:val="yellow"/>
        </w:rPr>
        <w:t xml:space="preserve">Disclose any instance where the accounting system does not include a fund required by law or regulation to help assure restrictions on </w:t>
      </w:r>
      <w:r w:rsidR="00AD3AEF" w:rsidRPr="00ED3B48">
        <w:rPr>
          <w:i/>
          <w:sz w:val="22"/>
          <w:szCs w:val="22"/>
          <w:highlight w:val="yellow"/>
        </w:rPr>
        <w:t>disbursements</w:t>
      </w:r>
      <w:r w:rsidRPr="00ED3B48">
        <w:rPr>
          <w:i/>
          <w:sz w:val="22"/>
          <w:szCs w:val="22"/>
          <w:highlight w:val="yellow"/>
        </w:rPr>
        <w:t xml:space="preserve"> are met.</w:t>
      </w:r>
    </w:p>
    <w:p w14:paraId="4FC89E70" w14:textId="77777777" w:rsidR="00441262" w:rsidRPr="00ED3B48" w:rsidRDefault="00441262" w:rsidP="00533678">
      <w:pPr>
        <w:widowControl/>
        <w:ind w:left="702"/>
        <w:jc w:val="both"/>
        <w:rPr>
          <w:i/>
          <w:sz w:val="22"/>
          <w:szCs w:val="22"/>
          <w:highlight w:val="yellow"/>
        </w:rPr>
      </w:pPr>
    </w:p>
    <w:p w14:paraId="5E7301DB" w14:textId="77777777" w:rsidR="00441262" w:rsidRPr="00ED3B48" w:rsidRDefault="00441262" w:rsidP="00533678">
      <w:pPr>
        <w:widowControl/>
        <w:ind w:left="702"/>
        <w:jc w:val="both"/>
        <w:rPr>
          <w:i/>
          <w:sz w:val="22"/>
          <w:szCs w:val="22"/>
          <w:highlight w:val="yellow"/>
        </w:rPr>
      </w:pPr>
      <w:r w:rsidRPr="00ED3B48">
        <w:rPr>
          <w:i/>
          <w:sz w:val="22"/>
          <w:szCs w:val="22"/>
          <w:highlight w:val="yellow"/>
        </w:rPr>
        <w:t xml:space="preserve">Disclose ANY excess of </w:t>
      </w:r>
      <w:r w:rsidR="00AD3AEF" w:rsidRPr="00ED3B48">
        <w:rPr>
          <w:i/>
          <w:sz w:val="22"/>
          <w:szCs w:val="22"/>
          <w:highlight w:val="yellow"/>
        </w:rPr>
        <w:t>disbursements</w:t>
      </w:r>
      <w:r w:rsidRPr="00ED3B48">
        <w:rPr>
          <w:i/>
          <w:sz w:val="22"/>
          <w:szCs w:val="22"/>
          <w:highlight w:val="yellow"/>
        </w:rPr>
        <w:t xml:space="preserve"> over appropriations in the general or major special revenue funds included in budgetary statements.  Disclose in footnotes to RSI if presented as RSI.</w:t>
      </w:r>
    </w:p>
    <w:p w14:paraId="7D1B2039" w14:textId="77777777" w:rsidR="00441262" w:rsidRPr="00ED3B48" w:rsidRDefault="00441262" w:rsidP="00533678">
      <w:pPr>
        <w:widowControl/>
        <w:ind w:left="702"/>
        <w:jc w:val="both"/>
        <w:rPr>
          <w:i/>
          <w:sz w:val="22"/>
          <w:szCs w:val="22"/>
          <w:highlight w:val="yellow"/>
        </w:rPr>
      </w:pPr>
    </w:p>
    <w:p w14:paraId="14B0199B" w14:textId="77777777" w:rsidR="00441262" w:rsidRPr="00ED3B48" w:rsidRDefault="00441262" w:rsidP="00533678">
      <w:pPr>
        <w:widowControl/>
        <w:ind w:left="702"/>
        <w:jc w:val="both"/>
        <w:rPr>
          <w:i/>
          <w:sz w:val="22"/>
          <w:szCs w:val="22"/>
          <w:highlight w:val="yellow"/>
        </w:rPr>
      </w:pPr>
      <w:r w:rsidRPr="00ED3B48">
        <w:rPr>
          <w:i/>
          <w:sz w:val="22"/>
          <w:szCs w:val="22"/>
          <w:highlight w:val="yellow"/>
        </w:rPr>
        <w:t xml:space="preserve">Disclose any significant excess of </w:t>
      </w:r>
      <w:r w:rsidR="00AD3AEF" w:rsidRPr="00ED3B48">
        <w:rPr>
          <w:i/>
          <w:sz w:val="22"/>
          <w:szCs w:val="22"/>
          <w:highlight w:val="yellow"/>
        </w:rPr>
        <w:t>disbursements</w:t>
      </w:r>
      <w:r w:rsidRPr="00ED3B48">
        <w:rPr>
          <w:i/>
          <w:sz w:val="22"/>
          <w:szCs w:val="22"/>
          <w:highlight w:val="yellow"/>
        </w:rPr>
        <w:t xml:space="preserve"> over appropriations for other funds.</w:t>
      </w:r>
    </w:p>
    <w:p w14:paraId="42D2FC31" w14:textId="77777777" w:rsidR="00441262" w:rsidRPr="00ED3B48" w:rsidRDefault="00441262" w:rsidP="00533678">
      <w:pPr>
        <w:widowControl/>
        <w:ind w:left="702"/>
        <w:jc w:val="both"/>
        <w:rPr>
          <w:i/>
          <w:sz w:val="22"/>
          <w:szCs w:val="22"/>
          <w:highlight w:val="yellow"/>
        </w:rPr>
      </w:pPr>
    </w:p>
    <w:p w14:paraId="3321B613" w14:textId="77777777" w:rsidR="00441262" w:rsidRPr="00ED3B48" w:rsidRDefault="00441262" w:rsidP="00533678">
      <w:pPr>
        <w:widowControl/>
        <w:ind w:left="702"/>
        <w:jc w:val="both"/>
        <w:rPr>
          <w:i/>
          <w:sz w:val="22"/>
          <w:szCs w:val="22"/>
          <w:highlight w:val="yellow"/>
        </w:rPr>
      </w:pPr>
      <w:r w:rsidRPr="00ED3B48">
        <w:rPr>
          <w:i/>
          <w:sz w:val="22"/>
          <w:szCs w:val="22"/>
          <w:highlight w:val="yellow"/>
        </w:rPr>
        <w:t>Disclose any other significant budgetary violations such as appropriating more than what was certified available for appropriation.</w:t>
      </w:r>
    </w:p>
    <w:p w14:paraId="2F52BB50" w14:textId="77777777" w:rsidR="00441262" w:rsidRPr="00ED3B48" w:rsidRDefault="00441262" w:rsidP="00533678">
      <w:pPr>
        <w:widowControl/>
        <w:ind w:left="702"/>
        <w:jc w:val="both"/>
        <w:rPr>
          <w:i/>
          <w:sz w:val="22"/>
          <w:szCs w:val="22"/>
          <w:highlight w:val="yellow"/>
        </w:rPr>
      </w:pPr>
    </w:p>
    <w:p w14:paraId="13E8BFAF" w14:textId="77777777" w:rsidR="00441262" w:rsidRDefault="00441262" w:rsidP="00533678">
      <w:pPr>
        <w:widowControl/>
        <w:ind w:left="702"/>
        <w:jc w:val="both"/>
        <w:rPr>
          <w:i/>
          <w:sz w:val="22"/>
          <w:szCs w:val="22"/>
          <w:highlight w:val="yellow"/>
        </w:rPr>
      </w:pPr>
      <w:r w:rsidRPr="00ED3B48">
        <w:rPr>
          <w:i/>
          <w:sz w:val="22"/>
          <w:szCs w:val="22"/>
          <w:highlight w:val="yellow"/>
        </w:rPr>
        <w:t>Disclose any deficit fund equity in nonmajor funds.</w:t>
      </w:r>
    </w:p>
    <w:p w14:paraId="7AD352D5" w14:textId="77777777" w:rsidR="000B11F4" w:rsidRPr="00ED3B48" w:rsidRDefault="000B11F4" w:rsidP="00533678">
      <w:pPr>
        <w:widowControl/>
        <w:ind w:left="702"/>
        <w:jc w:val="both"/>
        <w:rPr>
          <w:i/>
          <w:sz w:val="22"/>
          <w:szCs w:val="22"/>
          <w:highlight w:val="yellow"/>
        </w:rPr>
      </w:pPr>
    </w:p>
    <w:p w14:paraId="630E6B52" w14:textId="77777777" w:rsidR="00441262" w:rsidRPr="00ED3B48" w:rsidRDefault="00441262" w:rsidP="00533678">
      <w:pPr>
        <w:widowControl/>
        <w:ind w:left="702"/>
        <w:jc w:val="both"/>
        <w:rPr>
          <w:i/>
          <w:sz w:val="22"/>
          <w:szCs w:val="22"/>
          <w:highlight w:val="yellow"/>
        </w:rPr>
      </w:pPr>
      <w:r w:rsidRPr="00ED3B48">
        <w:rPr>
          <w:i/>
          <w:sz w:val="22"/>
          <w:szCs w:val="22"/>
          <w:highlight w:val="yellow"/>
        </w:rPr>
        <w:t>Disclose violations of debt covenants or contracts.</w:t>
      </w:r>
    </w:p>
    <w:p w14:paraId="3B382552" w14:textId="77777777" w:rsidR="00441262" w:rsidRPr="00ED3B48" w:rsidRDefault="00441262" w:rsidP="00533678">
      <w:pPr>
        <w:widowControl/>
        <w:ind w:left="702"/>
        <w:jc w:val="both"/>
        <w:rPr>
          <w:i/>
          <w:sz w:val="22"/>
          <w:szCs w:val="22"/>
          <w:highlight w:val="yellow"/>
        </w:rPr>
      </w:pPr>
    </w:p>
    <w:p w14:paraId="73FC9048" w14:textId="77777777" w:rsidR="00441262" w:rsidRPr="00ED3B48" w:rsidRDefault="00441262" w:rsidP="00533678">
      <w:pPr>
        <w:widowControl/>
        <w:ind w:left="702"/>
        <w:jc w:val="both"/>
        <w:rPr>
          <w:i/>
          <w:sz w:val="22"/>
          <w:szCs w:val="22"/>
          <w:highlight w:val="yellow"/>
        </w:rPr>
      </w:pPr>
      <w:r w:rsidRPr="00ED3B48">
        <w:rPr>
          <w:i/>
          <w:sz w:val="22"/>
          <w:szCs w:val="22"/>
          <w:highlight w:val="yellow"/>
        </w:rPr>
        <w:t>Disclose significant violations of grant requirements such as disallowed costs or failure to meet eligibility requirements or matching requirements that may require repayment.</w:t>
      </w:r>
    </w:p>
    <w:p w14:paraId="3B37FDA9" w14:textId="77777777" w:rsidR="00441262" w:rsidRPr="00ED3B48" w:rsidRDefault="00441262" w:rsidP="00533678">
      <w:pPr>
        <w:widowControl/>
        <w:ind w:left="702"/>
        <w:jc w:val="both"/>
        <w:rPr>
          <w:i/>
          <w:sz w:val="22"/>
          <w:szCs w:val="22"/>
          <w:highlight w:val="yellow"/>
        </w:rPr>
      </w:pPr>
    </w:p>
    <w:p w14:paraId="6E0B1E9F" w14:textId="77777777" w:rsidR="00441262" w:rsidRPr="005374C3" w:rsidRDefault="00441262" w:rsidP="00533678">
      <w:pPr>
        <w:widowControl/>
        <w:ind w:left="702"/>
        <w:jc w:val="both"/>
        <w:rPr>
          <w:i/>
          <w:sz w:val="22"/>
          <w:szCs w:val="22"/>
        </w:rPr>
      </w:pPr>
      <w:r w:rsidRPr="00ED3B48">
        <w:rPr>
          <w:i/>
          <w:sz w:val="22"/>
          <w:szCs w:val="22"/>
          <w:highlight w:val="yellow"/>
        </w:rPr>
        <w:t>Disclose violations of laws relating to investments and deposits.</w:t>
      </w:r>
      <w:r w:rsidRPr="005374C3">
        <w:rPr>
          <w:i/>
          <w:sz w:val="22"/>
          <w:szCs w:val="22"/>
        </w:rPr>
        <w:t xml:space="preserve">  </w:t>
      </w:r>
    </w:p>
    <w:p w14:paraId="3AA06139" w14:textId="77777777" w:rsidR="00441262" w:rsidRPr="005374C3" w:rsidRDefault="00133E5F" w:rsidP="00533678">
      <w:pPr>
        <w:widowControl/>
        <w:jc w:val="both"/>
        <w:rPr>
          <w:b/>
          <w:sz w:val="24"/>
          <w:szCs w:val="24"/>
        </w:rPr>
      </w:pPr>
      <w:r w:rsidRPr="005374C3">
        <w:rPr>
          <w:b/>
          <w:sz w:val="24"/>
          <w:szCs w:val="24"/>
        </w:rPr>
        <w:lastRenderedPageBreak/>
        <w:t xml:space="preserve">Note </w:t>
      </w:r>
      <w:r w:rsidR="00ED3B48">
        <w:rPr>
          <w:b/>
          <w:sz w:val="24"/>
          <w:szCs w:val="24"/>
        </w:rPr>
        <w:t>4</w:t>
      </w:r>
      <w:r w:rsidR="00441262" w:rsidRPr="005374C3">
        <w:rPr>
          <w:b/>
          <w:sz w:val="24"/>
          <w:szCs w:val="24"/>
        </w:rPr>
        <w:t xml:space="preserve"> – Budgetary Basis of Accounting</w:t>
      </w:r>
    </w:p>
    <w:p w14:paraId="35BEA6F1" w14:textId="77777777" w:rsidR="00441262" w:rsidRPr="005374C3" w:rsidRDefault="00441262" w:rsidP="00533678">
      <w:pPr>
        <w:widowControl/>
        <w:jc w:val="both"/>
        <w:rPr>
          <w:sz w:val="22"/>
          <w:szCs w:val="22"/>
        </w:rPr>
      </w:pPr>
    </w:p>
    <w:p w14:paraId="6E174038" w14:textId="7C3C1B15" w:rsidR="002D7C40" w:rsidRDefault="00441262" w:rsidP="00533678">
      <w:pPr>
        <w:widowControl/>
        <w:jc w:val="both"/>
        <w:rPr>
          <w:sz w:val="22"/>
          <w:szCs w:val="22"/>
        </w:rPr>
      </w:pPr>
      <w:r w:rsidRPr="005374C3">
        <w:rPr>
          <w:sz w:val="22"/>
          <w:szCs w:val="22"/>
        </w:rPr>
        <w:t xml:space="preserve">The budgetary basis as provided by law is based upon accounting for certain transactions </w:t>
      </w:r>
      <w:proofErr w:type="gramStart"/>
      <w:r w:rsidRPr="005374C3">
        <w:rPr>
          <w:sz w:val="22"/>
          <w:szCs w:val="22"/>
        </w:rPr>
        <w:t>on the basis of</w:t>
      </w:r>
      <w:proofErr w:type="gramEnd"/>
      <w:r w:rsidRPr="005374C3">
        <w:rPr>
          <w:sz w:val="22"/>
          <w:szCs w:val="22"/>
        </w:rPr>
        <w:t xml:space="preserve"> cash receipts, disbursements, and encumbrances.  The Statement of Receipts, Disbursements and Changes in Fund Balance – Budget and Actual – Budget Basis </w:t>
      </w:r>
      <w:r w:rsidR="00B277E4" w:rsidRPr="005374C3">
        <w:rPr>
          <w:sz w:val="22"/>
          <w:szCs w:val="22"/>
        </w:rPr>
        <w:t xml:space="preserve">presented </w:t>
      </w:r>
      <w:r w:rsidRPr="005374C3">
        <w:rPr>
          <w:sz w:val="22"/>
          <w:szCs w:val="22"/>
        </w:rPr>
        <w:t xml:space="preserve">for the general fund is </w:t>
      </w:r>
      <w:r w:rsidRPr="002D7C40">
        <w:rPr>
          <w:sz w:val="22"/>
          <w:szCs w:val="22"/>
          <w:highlight w:val="green"/>
        </w:rPr>
        <w:t>(and any major special revenue fund are)</w:t>
      </w:r>
      <w:r w:rsidRPr="005374C3">
        <w:rPr>
          <w:sz w:val="22"/>
          <w:szCs w:val="22"/>
        </w:rPr>
        <w:t xml:space="preserve"> </w:t>
      </w:r>
      <w:r w:rsidR="00B277E4" w:rsidRPr="005374C3">
        <w:rPr>
          <w:sz w:val="22"/>
          <w:szCs w:val="22"/>
        </w:rPr>
        <w:t>prepared</w:t>
      </w:r>
      <w:r w:rsidRPr="005374C3">
        <w:rPr>
          <w:sz w:val="22"/>
          <w:szCs w:val="22"/>
        </w:rPr>
        <w:t xml:space="preserve"> on the budgetary basis to provide a meaningful comparison of actual results with the budget.  The difference</w:t>
      </w:r>
      <w:r w:rsidR="00016F74" w:rsidRPr="005374C3">
        <w:rPr>
          <w:sz w:val="22"/>
          <w:szCs w:val="22"/>
        </w:rPr>
        <w:t>(</w:t>
      </w:r>
      <w:r w:rsidRPr="005374C3">
        <w:rPr>
          <w:sz w:val="22"/>
          <w:szCs w:val="22"/>
        </w:rPr>
        <w:t>s</w:t>
      </w:r>
      <w:r w:rsidR="00016F74" w:rsidRPr="005374C3">
        <w:rPr>
          <w:sz w:val="22"/>
          <w:szCs w:val="22"/>
        </w:rPr>
        <w:t>)</w:t>
      </w:r>
      <w:r w:rsidRPr="005374C3">
        <w:rPr>
          <w:sz w:val="22"/>
          <w:szCs w:val="22"/>
        </w:rPr>
        <w:t xml:space="preserve"> between the budgetary basis and the </w:t>
      </w:r>
      <w:r w:rsidRPr="0050650A">
        <w:rPr>
          <w:i/>
          <w:sz w:val="22"/>
          <w:szCs w:val="22"/>
          <w:highlight w:val="green"/>
        </w:rPr>
        <w:t>modified</w:t>
      </w:r>
      <w:r w:rsidRPr="002D7C40">
        <w:rPr>
          <w:sz w:val="22"/>
          <w:szCs w:val="22"/>
        </w:rPr>
        <w:t xml:space="preserve"> </w:t>
      </w:r>
      <w:r w:rsidRPr="005374C3">
        <w:rPr>
          <w:sz w:val="22"/>
          <w:szCs w:val="22"/>
        </w:rPr>
        <w:t>cash basis are</w:t>
      </w:r>
      <w:r w:rsidR="002D7C40">
        <w:rPr>
          <w:sz w:val="22"/>
          <w:szCs w:val="22"/>
        </w:rPr>
        <w:t xml:space="preserve"> as follows:</w:t>
      </w:r>
    </w:p>
    <w:p w14:paraId="0D0787ED" w14:textId="77777777" w:rsidR="002D7C40" w:rsidRPr="002D7C40" w:rsidRDefault="002D7C40" w:rsidP="00533678">
      <w:pPr>
        <w:widowControl/>
        <w:jc w:val="both"/>
        <w:rPr>
          <w:sz w:val="22"/>
          <w:szCs w:val="22"/>
        </w:rPr>
      </w:pPr>
    </w:p>
    <w:p w14:paraId="28B4F86F" w14:textId="5B42DD71" w:rsidR="002D7C40" w:rsidRPr="00807281" w:rsidRDefault="002D7C40" w:rsidP="002071D1">
      <w:pPr>
        <w:widowControl/>
        <w:numPr>
          <w:ilvl w:val="0"/>
          <w:numId w:val="13"/>
        </w:numPr>
        <w:autoSpaceDE/>
        <w:autoSpaceDN/>
        <w:adjustRightInd/>
        <w:jc w:val="both"/>
        <w:rPr>
          <w:i/>
          <w:sz w:val="22"/>
          <w:szCs w:val="22"/>
          <w:highlight w:val="green"/>
        </w:rPr>
      </w:pPr>
      <w:r w:rsidRPr="002D7C40">
        <w:rPr>
          <w:sz w:val="22"/>
          <w:szCs w:val="22"/>
          <w:highlight w:val="green"/>
        </w:rPr>
        <w:t>Outstanding year end encumbrances are treated as cash disbursements (budgetary basis) rather than as restricted, committed or assigned fund balance (</w:t>
      </w:r>
      <w:r w:rsidRPr="002D7C40">
        <w:rPr>
          <w:i/>
          <w:sz w:val="22"/>
          <w:szCs w:val="22"/>
          <w:highlight w:val="green"/>
        </w:rPr>
        <w:t>modified</w:t>
      </w:r>
      <w:r w:rsidRPr="002D7C40">
        <w:rPr>
          <w:sz w:val="22"/>
          <w:szCs w:val="22"/>
          <w:highlight w:val="green"/>
        </w:rPr>
        <w:t xml:space="preserve"> cash basis).</w:t>
      </w:r>
    </w:p>
    <w:p w14:paraId="2F3610D8" w14:textId="77777777" w:rsidR="00807281" w:rsidRPr="00DC0A7D" w:rsidRDefault="00807281" w:rsidP="00807281">
      <w:pPr>
        <w:widowControl/>
        <w:autoSpaceDE/>
        <w:autoSpaceDN/>
        <w:adjustRightInd/>
        <w:ind w:left="1080"/>
        <w:jc w:val="both"/>
        <w:rPr>
          <w:i/>
          <w:sz w:val="22"/>
          <w:szCs w:val="22"/>
          <w:highlight w:val="green"/>
        </w:rPr>
      </w:pPr>
    </w:p>
    <w:p w14:paraId="41AB8EC5" w14:textId="77777777" w:rsidR="002D7C40" w:rsidRPr="002D7C40" w:rsidRDefault="002D7C40" w:rsidP="00533678">
      <w:pPr>
        <w:widowControl/>
        <w:numPr>
          <w:ilvl w:val="0"/>
          <w:numId w:val="13"/>
        </w:numPr>
        <w:autoSpaceDE/>
        <w:autoSpaceDN/>
        <w:adjustRightInd/>
        <w:jc w:val="both"/>
        <w:rPr>
          <w:i/>
          <w:sz w:val="22"/>
          <w:szCs w:val="22"/>
          <w:highlight w:val="green"/>
        </w:rPr>
      </w:pPr>
      <w:r w:rsidRPr="002D7C40">
        <w:rPr>
          <w:sz w:val="22"/>
          <w:szCs w:val="22"/>
          <w:highlight w:val="green"/>
        </w:rPr>
        <w:t xml:space="preserve"> Outstanding year end advances are treated as </w:t>
      </w:r>
      <w:proofErr w:type="gramStart"/>
      <w:r w:rsidRPr="002D7C40">
        <w:rPr>
          <w:sz w:val="22"/>
          <w:szCs w:val="22"/>
          <w:highlight w:val="green"/>
        </w:rPr>
        <w:t>an other</w:t>
      </w:r>
      <w:proofErr w:type="gramEnd"/>
      <w:r w:rsidRPr="002D7C40">
        <w:rPr>
          <w:sz w:val="22"/>
          <w:szCs w:val="22"/>
          <w:highlight w:val="green"/>
        </w:rPr>
        <w:t xml:space="preserve"> financing source or use (budgetary basis) rather than as an interfund receivable or payable (</w:t>
      </w:r>
      <w:r w:rsidRPr="002D7C40">
        <w:rPr>
          <w:i/>
          <w:sz w:val="22"/>
          <w:szCs w:val="22"/>
          <w:highlight w:val="green"/>
        </w:rPr>
        <w:t>modified</w:t>
      </w:r>
      <w:r w:rsidRPr="002D7C40">
        <w:rPr>
          <w:sz w:val="22"/>
          <w:szCs w:val="22"/>
          <w:highlight w:val="green"/>
        </w:rPr>
        <w:t xml:space="preserve"> cash basis).</w:t>
      </w:r>
    </w:p>
    <w:p w14:paraId="6D90EA3D" w14:textId="77777777" w:rsidR="002D7C40" w:rsidRPr="002D7C40" w:rsidRDefault="002D7C40" w:rsidP="00533678">
      <w:pPr>
        <w:widowControl/>
        <w:autoSpaceDE/>
        <w:autoSpaceDN/>
        <w:adjustRightInd/>
        <w:ind w:left="720"/>
        <w:rPr>
          <w:i/>
          <w:sz w:val="22"/>
          <w:szCs w:val="22"/>
          <w:highlight w:val="green"/>
        </w:rPr>
      </w:pPr>
    </w:p>
    <w:p w14:paraId="6B771BB8" w14:textId="77777777" w:rsidR="002D7C40" w:rsidRPr="002D7C40" w:rsidRDefault="002D7C40" w:rsidP="00533678">
      <w:pPr>
        <w:widowControl/>
        <w:numPr>
          <w:ilvl w:val="0"/>
          <w:numId w:val="13"/>
        </w:numPr>
        <w:autoSpaceDE/>
        <w:autoSpaceDN/>
        <w:adjustRightInd/>
        <w:jc w:val="both"/>
        <w:rPr>
          <w:i/>
          <w:sz w:val="22"/>
          <w:szCs w:val="22"/>
          <w:highlight w:val="green"/>
        </w:rPr>
      </w:pPr>
      <w:r w:rsidRPr="002D7C40">
        <w:rPr>
          <w:sz w:val="22"/>
          <w:szCs w:val="22"/>
          <w:highlight w:val="green"/>
        </w:rPr>
        <w:t xml:space="preserve">Unreported interest is reported on the statement of </w:t>
      </w:r>
      <w:r w:rsidRPr="0050650A">
        <w:rPr>
          <w:i/>
          <w:sz w:val="22"/>
          <w:szCs w:val="22"/>
          <w:highlight w:val="green"/>
        </w:rPr>
        <w:t>modified</w:t>
      </w:r>
      <w:r w:rsidRPr="002D7C40">
        <w:rPr>
          <w:sz w:val="22"/>
          <w:szCs w:val="22"/>
          <w:highlight w:val="green"/>
        </w:rPr>
        <w:t xml:space="preserve"> receipts, disbursements, and changes in fund balances (cash basis), but not on the budgetary basis.</w:t>
      </w:r>
    </w:p>
    <w:p w14:paraId="536F61E5" w14:textId="77777777" w:rsidR="002D7C40" w:rsidRPr="002D7C40" w:rsidRDefault="002D7C40" w:rsidP="00533678">
      <w:pPr>
        <w:widowControl/>
        <w:autoSpaceDE/>
        <w:autoSpaceDN/>
        <w:adjustRightInd/>
        <w:ind w:left="720"/>
        <w:rPr>
          <w:i/>
          <w:sz w:val="22"/>
          <w:szCs w:val="22"/>
          <w:highlight w:val="green"/>
        </w:rPr>
      </w:pPr>
    </w:p>
    <w:p w14:paraId="730B785D" w14:textId="77777777" w:rsidR="002D7C40" w:rsidRDefault="002D7C40" w:rsidP="00533678">
      <w:pPr>
        <w:widowControl/>
        <w:autoSpaceDE/>
        <w:autoSpaceDN/>
        <w:adjustRightInd/>
        <w:jc w:val="both"/>
        <w:rPr>
          <w:sz w:val="22"/>
          <w:szCs w:val="22"/>
          <w:highlight w:val="green"/>
        </w:rPr>
      </w:pPr>
      <w:r w:rsidRPr="002D7C40">
        <w:rPr>
          <w:sz w:val="22"/>
          <w:szCs w:val="22"/>
          <w:highlight w:val="green"/>
        </w:rPr>
        <w:t>Adjustments necessary to convert the results of operations at the end of the year on the budget basis to the cash basis are as follows:</w:t>
      </w:r>
    </w:p>
    <w:p w14:paraId="1A157063" w14:textId="77777777" w:rsidR="00533678" w:rsidRPr="002D7C40" w:rsidRDefault="00533678" w:rsidP="00533678">
      <w:pPr>
        <w:widowControl/>
        <w:autoSpaceDE/>
        <w:autoSpaceDN/>
        <w:adjustRightInd/>
        <w:jc w:val="both"/>
        <w:rPr>
          <w:sz w:val="22"/>
          <w:szCs w:val="22"/>
          <w:highlight w:val="green"/>
        </w:rPr>
      </w:pPr>
    </w:p>
    <w:bookmarkStart w:id="22" w:name="_MON_1523258033"/>
    <w:bookmarkEnd w:id="22"/>
    <w:p w14:paraId="43854F52" w14:textId="1EA2BCCB" w:rsidR="002D7C40" w:rsidRPr="002D7C40" w:rsidRDefault="00AD2932" w:rsidP="00533678">
      <w:pPr>
        <w:widowControl/>
        <w:autoSpaceDE/>
        <w:autoSpaceDN/>
        <w:adjustRightInd/>
        <w:jc w:val="center"/>
        <w:rPr>
          <w:sz w:val="22"/>
          <w:szCs w:val="22"/>
        </w:rPr>
      </w:pPr>
      <w:r w:rsidRPr="00D930DB">
        <w:rPr>
          <w:sz w:val="22"/>
          <w:szCs w:val="22"/>
          <w:highlight w:val="green"/>
        </w:rPr>
        <w:object w:dxaOrig="5597" w:dyaOrig="3588" w14:anchorId="460F4F4D">
          <v:shape id="_x0000_i1026" type="#_x0000_t75" style="width:276.6pt;height:183pt" o:ole="" o:preferrelative="f">
            <v:imagedata r:id="rId15" o:title=""/>
            <o:lock v:ext="edit" aspectratio="f"/>
          </v:shape>
          <o:OLEObject Type="Embed" ProgID="Excel.Sheet.12" ShapeID="_x0000_i1026" DrawAspect="Content" ObjectID="_1798480928" r:id="rId16"/>
        </w:object>
      </w:r>
    </w:p>
    <w:p w14:paraId="6C40CFF5" w14:textId="77777777" w:rsidR="002D7C40" w:rsidRPr="002D7C40" w:rsidRDefault="002D7C40" w:rsidP="00533678">
      <w:pPr>
        <w:widowControl/>
        <w:autoSpaceDE/>
        <w:autoSpaceDN/>
        <w:adjustRightInd/>
        <w:jc w:val="both"/>
        <w:rPr>
          <w:sz w:val="22"/>
          <w:szCs w:val="22"/>
        </w:rPr>
      </w:pPr>
    </w:p>
    <w:p w14:paraId="0D76DBAC" w14:textId="77777777" w:rsidR="00016F74" w:rsidRPr="005374C3" w:rsidRDefault="00133E5F" w:rsidP="00533678">
      <w:pPr>
        <w:widowControl/>
        <w:jc w:val="both"/>
        <w:rPr>
          <w:b/>
          <w:sz w:val="24"/>
          <w:szCs w:val="24"/>
        </w:rPr>
      </w:pPr>
      <w:r w:rsidRPr="005374C3">
        <w:rPr>
          <w:b/>
          <w:sz w:val="24"/>
          <w:szCs w:val="24"/>
        </w:rPr>
        <w:t xml:space="preserve">Note </w:t>
      </w:r>
      <w:r w:rsidR="002D7C40">
        <w:rPr>
          <w:b/>
          <w:sz w:val="24"/>
          <w:szCs w:val="24"/>
        </w:rPr>
        <w:t>5</w:t>
      </w:r>
      <w:r w:rsidR="00016F74" w:rsidRPr="005374C3">
        <w:rPr>
          <w:b/>
          <w:sz w:val="24"/>
          <w:szCs w:val="24"/>
        </w:rPr>
        <w:t xml:space="preserve"> – Deposits and Investments</w:t>
      </w:r>
    </w:p>
    <w:p w14:paraId="23D61E18" w14:textId="77777777" w:rsidR="00016F74" w:rsidRPr="005374C3" w:rsidRDefault="00016F74" w:rsidP="00533678">
      <w:pPr>
        <w:widowControl/>
        <w:jc w:val="both"/>
        <w:rPr>
          <w:b/>
          <w:sz w:val="22"/>
          <w:szCs w:val="22"/>
          <w:u w:val="single"/>
        </w:rPr>
      </w:pPr>
    </w:p>
    <w:p w14:paraId="684D3291" w14:textId="77777777" w:rsidR="00016F74" w:rsidRPr="002D7C40" w:rsidRDefault="002D7C40" w:rsidP="00533678">
      <w:pPr>
        <w:widowControl/>
        <w:jc w:val="both"/>
        <w:rPr>
          <w:sz w:val="22"/>
          <w:szCs w:val="22"/>
        </w:rPr>
      </w:pPr>
      <w:r w:rsidRPr="002D7C40">
        <w:rPr>
          <w:sz w:val="22"/>
          <w:szCs w:val="22"/>
          <w:highlight w:val="yellow"/>
        </w:rPr>
        <w:t>(</w:t>
      </w:r>
      <w:r w:rsidR="0061345C" w:rsidRPr="002D7C40">
        <w:rPr>
          <w:sz w:val="22"/>
          <w:szCs w:val="22"/>
          <w:highlight w:val="yellow"/>
        </w:rPr>
        <w:t>M</w:t>
      </w:r>
      <w:r w:rsidR="00016F74" w:rsidRPr="002D7C40">
        <w:rPr>
          <w:sz w:val="22"/>
          <w:szCs w:val="22"/>
          <w:highlight w:val="yellow"/>
        </w:rPr>
        <w:t xml:space="preserve">odify as appropriate considering the </w:t>
      </w:r>
      <w:r w:rsidR="00974DCB" w:rsidRPr="002D7C40">
        <w:rPr>
          <w:sz w:val="22"/>
          <w:szCs w:val="22"/>
          <w:highlight w:val="yellow"/>
        </w:rPr>
        <w:t>Library</w:t>
      </w:r>
      <w:r w:rsidR="0050650A">
        <w:rPr>
          <w:sz w:val="22"/>
          <w:szCs w:val="22"/>
          <w:highlight w:val="yellow"/>
        </w:rPr>
        <w:t>’s</w:t>
      </w:r>
      <w:r w:rsidR="00016F74" w:rsidRPr="002D7C40">
        <w:rPr>
          <w:sz w:val="22"/>
          <w:szCs w:val="22"/>
          <w:highlight w:val="yellow"/>
        </w:rPr>
        <w:t xml:space="preserve"> investment policy</w:t>
      </w:r>
      <w:r w:rsidR="00AB7E6E" w:rsidRPr="002D7C40">
        <w:rPr>
          <w:sz w:val="22"/>
          <w:szCs w:val="22"/>
          <w:highlight w:val="yellow"/>
        </w:rPr>
        <w:t>.</w:t>
      </w:r>
      <w:r w:rsidR="00016F74" w:rsidRPr="002D7C40">
        <w:rPr>
          <w:sz w:val="22"/>
          <w:szCs w:val="22"/>
          <w:highlight w:val="yellow"/>
        </w:rPr>
        <w:t>)</w:t>
      </w:r>
    </w:p>
    <w:p w14:paraId="7499D930" w14:textId="77777777" w:rsidR="00016F74" w:rsidRPr="005374C3" w:rsidRDefault="00016F74" w:rsidP="00533678">
      <w:pPr>
        <w:widowControl/>
        <w:jc w:val="both"/>
        <w:rPr>
          <w:sz w:val="22"/>
          <w:szCs w:val="22"/>
        </w:rPr>
      </w:pPr>
    </w:p>
    <w:p w14:paraId="4D2DF196" w14:textId="77777777" w:rsidR="002D7C40" w:rsidRPr="002D7C40" w:rsidRDefault="002D7C40" w:rsidP="00533678">
      <w:pPr>
        <w:widowControl/>
        <w:tabs>
          <w:tab w:val="left" w:pos="-720"/>
          <w:tab w:val="left" w:pos="0"/>
          <w:tab w:val="left" w:pos="480"/>
          <w:tab w:val="left" w:pos="8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line="240" w:lineRule="exact"/>
        <w:jc w:val="both"/>
        <w:rPr>
          <w:sz w:val="22"/>
          <w:szCs w:val="22"/>
        </w:rPr>
      </w:pPr>
      <w:r w:rsidRPr="002D7C40">
        <w:rPr>
          <w:sz w:val="22"/>
          <w:szCs w:val="22"/>
        </w:rPr>
        <w:t xml:space="preserve">State statutes classify monies held by the </w:t>
      </w:r>
      <w:r>
        <w:rPr>
          <w:sz w:val="22"/>
          <w:szCs w:val="22"/>
        </w:rPr>
        <w:t>Library</w:t>
      </w:r>
      <w:r w:rsidRPr="002D7C40">
        <w:rPr>
          <w:sz w:val="22"/>
          <w:szCs w:val="22"/>
        </w:rPr>
        <w:t xml:space="preserve"> into three categories.</w:t>
      </w:r>
    </w:p>
    <w:p w14:paraId="7699D7BD" w14:textId="77777777" w:rsidR="00016F74" w:rsidRPr="005374C3" w:rsidRDefault="00016F74" w:rsidP="00533678">
      <w:pPr>
        <w:widowControl/>
        <w:jc w:val="both"/>
        <w:rPr>
          <w:sz w:val="22"/>
          <w:szCs w:val="22"/>
        </w:rPr>
      </w:pPr>
    </w:p>
    <w:p w14:paraId="06F65C1C" w14:textId="77777777" w:rsidR="00016F74" w:rsidRPr="005374C3" w:rsidRDefault="00016F74" w:rsidP="00533678">
      <w:pPr>
        <w:widowControl/>
        <w:jc w:val="both"/>
        <w:rPr>
          <w:sz w:val="22"/>
          <w:szCs w:val="22"/>
        </w:rPr>
      </w:pPr>
      <w:r w:rsidRPr="005374C3">
        <w:rPr>
          <w:sz w:val="22"/>
          <w:szCs w:val="22"/>
        </w:rPr>
        <w:t xml:space="preserve">Active monies are public monies determined to be necessary to meet current demands upon the </w:t>
      </w:r>
      <w:r w:rsidR="00974DCB" w:rsidRPr="005374C3">
        <w:rPr>
          <w:sz w:val="22"/>
          <w:szCs w:val="22"/>
        </w:rPr>
        <w:t>Library</w:t>
      </w:r>
      <w:r w:rsidRPr="005374C3">
        <w:rPr>
          <w:sz w:val="22"/>
          <w:szCs w:val="22"/>
        </w:rPr>
        <w:t xml:space="preserve"> treasury.  Active monies must be maintained either as cash in the </w:t>
      </w:r>
      <w:r w:rsidR="00974DCB" w:rsidRPr="005374C3">
        <w:rPr>
          <w:sz w:val="22"/>
          <w:szCs w:val="22"/>
        </w:rPr>
        <w:t>Library</w:t>
      </w:r>
      <w:r w:rsidRPr="005374C3">
        <w:rPr>
          <w:sz w:val="22"/>
          <w:szCs w:val="22"/>
        </w:rPr>
        <w:t xml:space="preserve"> treasury, in commercial accounts payable or withdrawable on demand, including negotiable order of withdrawal (NOW) accounts, or in money market deposit accounts.</w:t>
      </w:r>
    </w:p>
    <w:p w14:paraId="343847C2" w14:textId="77777777" w:rsidR="00016F74" w:rsidRPr="005374C3" w:rsidRDefault="00016F74" w:rsidP="00533678">
      <w:pPr>
        <w:widowControl/>
        <w:jc w:val="both"/>
        <w:rPr>
          <w:sz w:val="22"/>
          <w:szCs w:val="22"/>
        </w:rPr>
      </w:pPr>
    </w:p>
    <w:p w14:paraId="6E25B00C" w14:textId="3206C960" w:rsidR="00016F74" w:rsidRPr="005374C3" w:rsidRDefault="00016F74" w:rsidP="00533678">
      <w:pPr>
        <w:widowControl/>
        <w:jc w:val="both"/>
        <w:rPr>
          <w:sz w:val="22"/>
          <w:szCs w:val="22"/>
        </w:rPr>
      </w:pPr>
      <w:r w:rsidRPr="005374C3">
        <w:rPr>
          <w:sz w:val="22"/>
          <w:szCs w:val="22"/>
        </w:rPr>
        <w:t xml:space="preserve">Inactive deposits are public deposits that </w:t>
      </w:r>
      <w:r w:rsidR="00C60FE6" w:rsidRPr="005374C3">
        <w:rPr>
          <w:sz w:val="22"/>
          <w:szCs w:val="22"/>
        </w:rPr>
        <w:t>the Board</w:t>
      </w:r>
      <w:r w:rsidRPr="005374C3">
        <w:rPr>
          <w:sz w:val="22"/>
          <w:szCs w:val="22"/>
        </w:rPr>
        <w:t xml:space="preserve"> has identified as not required for use within the current </w:t>
      </w:r>
      <w:r w:rsidR="00AD2932" w:rsidRPr="005374C3">
        <w:rPr>
          <w:sz w:val="22"/>
          <w:szCs w:val="22"/>
        </w:rPr>
        <w:t>five-year</w:t>
      </w:r>
      <w:r w:rsidRPr="005374C3">
        <w:rPr>
          <w:sz w:val="22"/>
          <w:szCs w:val="22"/>
        </w:rPr>
        <w:t xml:space="preserve"> period of designation of depositories.  Inactive deposits must either be evidenced by certificates of </w:t>
      </w:r>
      <w:r w:rsidRPr="005374C3">
        <w:rPr>
          <w:sz w:val="22"/>
          <w:szCs w:val="22"/>
        </w:rPr>
        <w:lastRenderedPageBreak/>
        <w:t>deposit maturing not later than the end of the current period of designation of depositories, or by savings or deposit accounts including, but not limited to, passbook accounts.</w:t>
      </w:r>
    </w:p>
    <w:p w14:paraId="36DF9CA5" w14:textId="77777777" w:rsidR="005374C3" w:rsidRDefault="005374C3" w:rsidP="00533678">
      <w:pPr>
        <w:widowControl/>
        <w:jc w:val="both"/>
        <w:rPr>
          <w:b/>
          <w:sz w:val="22"/>
          <w:szCs w:val="22"/>
          <w:u w:val="single"/>
        </w:rPr>
      </w:pPr>
    </w:p>
    <w:p w14:paraId="3B892927" w14:textId="77777777" w:rsidR="00016F74" w:rsidRDefault="00016F74" w:rsidP="00533678">
      <w:pPr>
        <w:widowControl/>
        <w:jc w:val="both"/>
        <w:rPr>
          <w:sz w:val="22"/>
          <w:szCs w:val="22"/>
        </w:rPr>
      </w:pPr>
      <w:r w:rsidRPr="005374C3">
        <w:rPr>
          <w:sz w:val="22"/>
          <w:szCs w:val="22"/>
        </w:rPr>
        <w:t xml:space="preserve">Interim deposits are deposits of interim monies. Interim monies are those monies which are not needed for immediate </w:t>
      </w:r>
      <w:proofErr w:type="gramStart"/>
      <w:r w:rsidRPr="005374C3">
        <w:rPr>
          <w:sz w:val="22"/>
          <w:szCs w:val="22"/>
        </w:rPr>
        <w:t>use</w:t>
      </w:r>
      <w:proofErr w:type="gramEnd"/>
      <w:r w:rsidRPr="005374C3">
        <w:rPr>
          <w:sz w:val="22"/>
          <w:szCs w:val="22"/>
        </w:rPr>
        <w:t xml:space="preserve"> but which will be needed before the end of the current period of designation of depositories.  Interim deposits must be evidenced by time certificates of deposit maturing not more than one year from the</w:t>
      </w:r>
      <w:r w:rsidR="00C60FE6" w:rsidRPr="005374C3">
        <w:rPr>
          <w:sz w:val="22"/>
          <w:szCs w:val="22"/>
        </w:rPr>
        <w:t xml:space="preserve"> </w:t>
      </w:r>
      <w:r w:rsidR="00974DCB" w:rsidRPr="005374C3">
        <w:rPr>
          <w:sz w:val="22"/>
          <w:szCs w:val="22"/>
        </w:rPr>
        <w:t>date of deposit or by savings or deposit accounts, including passbook accounts.</w:t>
      </w:r>
    </w:p>
    <w:p w14:paraId="17FC9463" w14:textId="77777777" w:rsidR="00BA56F7" w:rsidRPr="005374C3" w:rsidRDefault="00BA56F7" w:rsidP="00533678">
      <w:pPr>
        <w:widowControl/>
        <w:jc w:val="both"/>
        <w:rPr>
          <w:sz w:val="22"/>
          <w:szCs w:val="22"/>
        </w:rPr>
      </w:pPr>
    </w:p>
    <w:p w14:paraId="0DF19A09" w14:textId="77777777" w:rsidR="00DC0A7D" w:rsidRDefault="00BA56F7" w:rsidP="00533678">
      <w:pPr>
        <w:widowControl/>
        <w:tabs>
          <w:tab w:val="left" w:pos="-864"/>
          <w:tab w:val="left" w:pos="-144"/>
          <w:tab w:val="left" w:pos="594"/>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jc w:val="both"/>
        <w:rPr>
          <w:sz w:val="22"/>
          <w:szCs w:val="22"/>
          <w:lang w:eastAsia="ja-JP"/>
        </w:rPr>
      </w:pPr>
      <w:r w:rsidRPr="00BA56F7">
        <w:rPr>
          <w:sz w:val="22"/>
          <w:szCs w:val="22"/>
          <w:highlight w:val="yellow"/>
        </w:rPr>
        <w:t>(Include only if no custodial credit risk.)</w:t>
      </w:r>
      <w:r>
        <w:rPr>
          <w:sz w:val="22"/>
          <w:szCs w:val="22"/>
          <w:highlight w:val="yellow"/>
        </w:rPr>
        <w:t xml:space="preserve">  </w:t>
      </w:r>
      <w:r w:rsidRPr="002071D1">
        <w:rPr>
          <w:sz w:val="22"/>
          <w:szCs w:val="22"/>
          <w:lang w:eastAsia="ja-JP"/>
        </w:rPr>
        <w:t>Protection of the Library’s deposits is provided by the Federal Deposit Insurance Corporation (FDIC), by eligible securities pledged by the financial institution as security for repayment, or by the financial institution’s participation in the Ohio Pooled Collateral System (OPCS), a collateral pool of eligible securities deposited with a qualified trustee and pledged to the Treasurer of State to secure the repayment of all public monies deposited in the financial institution.</w:t>
      </w:r>
      <w:r w:rsidRPr="00B532FF">
        <w:rPr>
          <w:sz w:val="22"/>
          <w:szCs w:val="22"/>
          <w:lang w:eastAsia="ja-JP"/>
        </w:rPr>
        <w:t> </w:t>
      </w:r>
    </w:p>
    <w:p w14:paraId="4FD55DED" w14:textId="0027B258" w:rsidR="00BA56F7" w:rsidRPr="00B532FF" w:rsidRDefault="00BA56F7" w:rsidP="00533678">
      <w:pPr>
        <w:widowControl/>
        <w:tabs>
          <w:tab w:val="left" w:pos="-864"/>
          <w:tab w:val="left" w:pos="-144"/>
          <w:tab w:val="left" w:pos="594"/>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jc w:val="both"/>
        <w:rPr>
          <w:sz w:val="22"/>
          <w:szCs w:val="22"/>
          <w:lang w:eastAsia="ja-JP"/>
        </w:rPr>
      </w:pPr>
      <w:r w:rsidRPr="00B532FF">
        <w:rPr>
          <w:sz w:val="22"/>
          <w:szCs w:val="22"/>
          <w:lang w:eastAsia="ja-JP"/>
        </w:rPr>
        <w:t xml:space="preserve"> </w:t>
      </w:r>
    </w:p>
    <w:p w14:paraId="47811D45" w14:textId="77777777" w:rsidR="00016F74" w:rsidRPr="005374C3" w:rsidRDefault="00016F74" w:rsidP="00533678">
      <w:pPr>
        <w:widowControl/>
        <w:jc w:val="both"/>
        <w:rPr>
          <w:sz w:val="22"/>
          <w:szCs w:val="22"/>
        </w:rPr>
      </w:pPr>
      <w:r w:rsidRPr="005374C3">
        <w:rPr>
          <w:sz w:val="22"/>
          <w:szCs w:val="22"/>
        </w:rPr>
        <w:t xml:space="preserve">Interim monies held by the </w:t>
      </w:r>
      <w:r w:rsidR="00974DCB" w:rsidRPr="005374C3">
        <w:rPr>
          <w:sz w:val="22"/>
          <w:szCs w:val="22"/>
        </w:rPr>
        <w:t>Library</w:t>
      </w:r>
      <w:r w:rsidRPr="005374C3">
        <w:rPr>
          <w:sz w:val="22"/>
          <w:szCs w:val="22"/>
        </w:rPr>
        <w:t xml:space="preserve"> can be deposited or invested in the following securities:</w:t>
      </w:r>
    </w:p>
    <w:p w14:paraId="3F4CC78B" w14:textId="77777777" w:rsidR="00BB0F02" w:rsidRDefault="00BB0F02" w:rsidP="00533678">
      <w:pPr>
        <w:widowControl/>
        <w:tabs>
          <w:tab w:val="left" w:pos="-864"/>
          <w:tab w:val="left" w:pos="-144"/>
          <w:tab w:val="left" w:pos="594"/>
          <w:tab w:val="left" w:pos="144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autoSpaceDE/>
        <w:autoSpaceDN/>
        <w:adjustRightInd/>
        <w:ind w:left="1440" w:hanging="720"/>
        <w:jc w:val="both"/>
        <w:rPr>
          <w:sz w:val="22"/>
          <w:szCs w:val="22"/>
          <w:lang w:eastAsia="ja-JP"/>
        </w:rPr>
      </w:pPr>
    </w:p>
    <w:p w14:paraId="7F8FF36A" w14:textId="77777777" w:rsidR="002D7C40" w:rsidRPr="002D7C40" w:rsidRDefault="002D7C40" w:rsidP="00533678">
      <w:pPr>
        <w:widowControl/>
        <w:tabs>
          <w:tab w:val="left" w:pos="-864"/>
          <w:tab w:val="left" w:pos="-144"/>
          <w:tab w:val="left" w:pos="594"/>
          <w:tab w:val="left" w:pos="144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autoSpaceDE/>
        <w:autoSpaceDN/>
        <w:adjustRightInd/>
        <w:ind w:left="1440" w:hanging="720"/>
        <w:jc w:val="both"/>
        <w:rPr>
          <w:sz w:val="22"/>
          <w:szCs w:val="22"/>
          <w:lang w:eastAsia="ja-JP"/>
        </w:rPr>
      </w:pPr>
      <w:r w:rsidRPr="002D7C40">
        <w:rPr>
          <w:sz w:val="22"/>
          <w:szCs w:val="22"/>
          <w:lang w:eastAsia="ja-JP"/>
        </w:rPr>
        <w:t>1.</w:t>
      </w:r>
      <w:r w:rsidRPr="002D7C40">
        <w:rPr>
          <w:sz w:val="22"/>
          <w:szCs w:val="22"/>
          <w:lang w:eastAsia="ja-JP"/>
        </w:rPr>
        <w:tab/>
        <w:t>United States Treasury bills, bonds</w:t>
      </w:r>
      <w:r w:rsidR="00DA2666">
        <w:rPr>
          <w:sz w:val="22"/>
          <w:szCs w:val="22"/>
          <w:lang w:eastAsia="ja-JP"/>
        </w:rPr>
        <w:t>,</w:t>
      </w:r>
      <w:r w:rsidRPr="002D7C40">
        <w:rPr>
          <w:sz w:val="22"/>
          <w:szCs w:val="22"/>
          <w:lang w:eastAsia="ja-JP"/>
        </w:rPr>
        <w:t xml:space="preserve"> notes, or any other obligation or security issued by the United States Treasury, or any other obligation guaranteed as to principal and interest by the United States;</w:t>
      </w:r>
    </w:p>
    <w:p w14:paraId="507A1421" w14:textId="77777777" w:rsidR="002D7C40" w:rsidRPr="002D7C40" w:rsidRDefault="002D7C40" w:rsidP="00533678">
      <w:pPr>
        <w:widowControl/>
        <w:tabs>
          <w:tab w:val="left" w:pos="-864"/>
          <w:tab w:val="left" w:pos="-144"/>
          <w:tab w:val="left" w:pos="594"/>
          <w:tab w:val="left" w:pos="144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autoSpaceDE/>
        <w:autoSpaceDN/>
        <w:adjustRightInd/>
        <w:jc w:val="both"/>
        <w:rPr>
          <w:sz w:val="22"/>
          <w:szCs w:val="22"/>
          <w:lang w:eastAsia="ja-JP"/>
        </w:rPr>
      </w:pPr>
    </w:p>
    <w:p w14:paraId="7663221B" w14:textId="77777777" w:rsidR="002D7C40" w:rsidRPr="002D7C40" w:rsidRDefault="002D7C40" w:rsidP="00533678">
      <w:pPr>
        <w:widowControl/>
        <w:tabs>
          <w:tab w:val="left" w:pos="-864"/>
          <w:tab w:val="left" w:pos="-144"/>
          <w:tab w:val="left" w:pos="594"/>
          <w:tab w:val="left" w:pos="144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autoSpaceDE/>
        <w:autoSpaceDN/>
        <w:adjustRightInd/>
        <w:ind w:left="1440" w:hanging="720"/>
        <w:jc w:val="both"/>
        <w:rPr>
          <w:sz w:val="22"/>
          <w:szCs w:val="22"/>
          <w:lang w:eastAsia="ja-JP"/>
        </w:rPr>
      </w:pPr>
      <w:r w:rsidRPr="002D7C40">
        <w:rPr>
          <w:sz w:val="22"/>
          <w:szCs w:val="22"/>
          <w:lang w:eastAsia="ja-JP"/>
        </w:rPr>
        <w:t>2.</w:t>
      </w:r>
      <w:r w:rsidRPr="002D7C40">
        <w:rPr>
          <w:sz w:val="22"/>
          <w:szCs w:val="22"/>
          <w:lang w:eastAsia="ja-JP"/>
        </w:rPr>
        <w:tab/>
        <w:t>Bonds, notes, debentures, or any other obligations or securities issued by any federal government agency or instrumentality, including, but not limited to, Federal National Mortgage Association, Federal Home Loan Bank, Federal Farm Credit Bank, Federal Home Loan Mortgage Corporation, and Government National Mortgage Association.  All federal agency securities shall be direct issuances of federal government agencies or instrumentalities;</w:t>
      </w:r>
    </w:p>
    <w:p w14:paraId="54206A22" w14:textId="77777777" w:rsidR="002D7C40" w:rsidRPr="002D7C40" w:rsidRDefault="002D7C40" w:rsidP="00533678">
      <w:pPr>
        <w:widowControl/>
        <w:tabs>
          <w:tab w:val="left" w:pos="-864"/>
          <w:tab w:val="left" w:pos="-144"/>
          <w:tab w:val="left" w:pos="594"/>
          <w:tab w:val="left" w:pos="144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autoSpaceDE/>
        <w:autoSpaceDN/>
        <w:adjustRightInd/>
        <w:ind w:left="1440" w:hanging="720"/>
        <w:jc w:val="both"/>
        <w:rPr>
          <w:sz w:val="22"/>
          <w:szCs w:val="22"/>
          <w:lang w:eastAsia="ja-JP"/>
        </w:rPr>
      </w:pPr>
    </w:p>
    <w:p w14:paraId="7A946BCC" w14:textId="77777777" w:rsidR="002D7C40" w:rsidRPr="002D7C40" w:rsidRDefault="002D7C40" w:rsidP="00533678">
      <w:pPr>
        <w:widowControl/>
        <w:tabs>
          <w:tab w:val="left" w:pos="-864"/>
          <w:tab w:val="left" w:pos="-144"/>
          <w:tab w:val="left" w:pos="594"/>
          <w:tab w:val="left" w:pos="144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autoSpaceDE/>
        <w:autoSpaceDN/>
        <w:adjustRightInd/>
        <w:ind w:left="1440" w:hanging="720"/>
        <w:jc w:val="both"/>
        <w:rPr>
          <w:sz w:val="22"/>
          <w:szCs w:val="22"/>
          <w:lang w:eastAsia="ja-JP"/>
        </w:rPr>
      </w:pPr>
      <w:r w:rsidRPr="002D7C40">
        <w:rPr>
          <w:sz w:val="22"/>
          <w:szCs w:val="22"/>
          <w:lang w:eastAsia="ja-JP"/>
        </w:rPr>
        <w:t>3.</w:t>
      </w:r>
      <w:r w:rsidRPr="002D7C40">
        <w:rPr>
          <w:sz w:val="22"/>
          <w:szCs w:val="22"/>
          <w:lang w:eastAsia="ja-JP"/>
        </w:rPr>
        <w:tab/>
        <w:t xml:space="preserve">No-load money market mutual funds consisting exclusively of obligations described in (1) or (2) and repurchase agreements secured by such obligations, provided that investments in securities described in this division are made only through eligible </w:t>
      </w:r>
      <w:proofErr w:type="gramStart"/>
      <w:r w:rsidRPr="002D7C40">
        <w:rPr>
          <w:sz w:val="22"/>
          <w:szCs w:val="22"/>
          <w:lang w:eastAsia="ja-JP"/>
        </w:rPr>
        <w:t>institutions;</w:t>
      </w:r>
      <w:proofErr w:type="gramEnd"/>
    </w:p>
    <w:p w14:paraId="2AF85BF5" w14:textId="77777777" w:rsidR="002D7C40" w:rsidRPr="002D7C40" w:rsidRDefault="002D7C40" w:rsidP="00533678">
      <w:pPr>
        <w:widowControl/>
        <w:tabs>
          <w:tab w:val="left" w:pos="-864"/>
          <w:tab w:val="left" w:pos="-144"/>
          <w:tab w:val="left" w:pos="594"/>
          <w:tab w:val="left" w:pos="144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autoSpaceDE/>
        <w:autoSpaceDN/>
        <w:adjustRightInd/>
        <w:ind w:left="1440" w:hanging="720"/>
        <w:jc w:val="both"/>
        <w:rPr>
          <w:sz w:val="22"/>
          <w:szCs w:val="22"/>
          <w:lang w:eastAsia="ja-JP"/>
        </w:rPr>
      </w:pPr>
    </w:p>
    <w:p w14:paraId="14ECA0BF" w14:textId="77777777" w:rsidR="002D7C40" w:rsidRPr="002D7C40" w:rsidRDefault="002D7C40" w:rsidP="00533678">
      <w:pPr>
        <w:widowControl/>
        <w:tabs>
          <w:tab w:val="left" w:pos="-864"/>
          <w:tab w:val="left" w:pos="-144"/>
          <w:tab w:val="left" w:pos="594"/>
          <w:tab w:val="left" w:pos="144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autoSpaceDE/>
        <w:autoSpaceDN/>
        <w:adjustRightInd/>
        <w:ind w:left="1440" w:hanging="720"/>
        <w:jc w:val="both"/>
        <w:rPr>
          <w:sz w:val="22"/>
          <w:szCs w:val="22"/>
          <w:lang w:eastAsia="ja-JP"/>
        </w:rPr>
      </w:pPr>
      <w:r w:rsidRPr="002D7C40">
        <w:rPr>
          <w:sz w:val="22"/>
          <w:szCs w:val="22"/>
          <w:lang w:eastAsia="ja-JP"/>
        </w:rPr>
        <w:t>4.</w:t>
      </w:r>
      <w:r w:rsidRPr="002D7C40">
        <w:rPr>
          <w:sz w:val="22"/>
          <w:szCs w:val="22"/>
          <w:lang w:eastAsia="ja-JP"/>
        </w:rPr>
        <w:tab/>
        <w:t>Time certificates of deposit or savings or deposit accounts including, but not limited to, passbook accounts;</w:t>
      </w:r>
    </w:p>
    <w:p w14:paraId="54DF7196" w14:textId="77777777" w:rsidR="002D7C40" w:rsidRPr="002D7C40" w:rsidRDefault="002D7C40" w:rsidP="00533678">
      <w:pPr>
        <w:widowControl/>
        <w:tabs>
          <w:tab w:val="left" w:pos="-864"/>
          <w:tab w:val="left" w:pos="-144"/>
          <w:tab w:val="left" w:pos="594"/>
          <w:tab w:val="left" w:pos="144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autoSpaceDE/>
        <w:autoSpaceDN/>
        <w:adjustRightInd/>
        <w:ind w:left="1440" w:hanging="720"/>
        <w:jc w:val="both"/>
        <w:rPr>
          <w:sz w:val="22"/>
          <w:szCs w:val="22"/>
          <w:lang w:eastAsia="ja-JP"/>
        </w:rPr>
      </w:pPr>
    </w:p>
    <w:p w14:paraId="1B157C28" w14:textId="77777777" w:rsidR="00BA56F7" w:rsidRPr="00D930DB" w:rsidRDefault="002D7C40" w:rsidP="00533678">
      <w:pPr>
        <w:widowControl/>
        <w:tabs>
          <w:tab w:val="left" w:pos="-864"/>
          <w:tab w:val="left" w:pos="-144"/>
          <w:tab w:val="left" w:pos="594"/>
          <w:tab w:val="left" w:pos="144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ind w:left="1440" w:hanging="720"/>
        <w:jc w:val="both"/>
        <w:rPr>
          <w:sz w:val="22"/>
          <w:szCs w:val="22"/>
          <w:lang w:eastAsia="ja-JP"/>
        </w:rPr>
      </w:pPr>
      <w:r w:rsidRPr="002D7C40">
        <w:rPr>
          <w:sz w:val="22"/>
          <w:szCs w:val="22"/>
          <w:lang w:eastAsia="ja-JP"/>
        </w:rPr>
        <w:t>5.</w:t>
      </w:r>
      <w:r w:rsidRPr="002D7C40">
        <w:rPr>
          <w:sz w:val="22"/>
          <w:szCs w:val="22"/>
          <w:lang w:eastAsia="ja-JP"/>
        </w:rPr>
        <w:tab/>
        <w:t xml:space="preserve">Bonds </w:t>
      </w:r>
      <w:r w:rsidR="00BA56F7" w:rsidRPr="00D930DB">
        <w:rPr>
          <w:sz w:val="22"/>
          <w:szCs w:val="22"/>
          <w:lang w:eastAsia="ja-JP"/>
        </w:rPr>
        <w:t xml:space="preserve">and other obligations of the State of Ohio, </w:t>
      </w:r>
      <w:r w:rsidR="00BA56F7">
        <w:rPr>
          <w:sz w:val="22"/>
          <w:szCs w:val="22"/>
          <w:lang w:eastAsia="ja-JP"/>
        </w:rPr>
        <w:t>an</w:t>
      </w:r>
      <w:r w:rsidR="00BA56F7" w:rsidRPr="00BA56F7">
        <w:rPr>
          <w:sz w:val="22"/>
          <w:szCs w:val="22"/>
          <w:lang w:eastAsia="ja-JP"/>
        </w:rPr>
        <w:t>d, with certain limitations including a requirement for maturity within ten years from the date of settlement, bonds and other obligations of political subdivisions of the State of Ohio, if training requirements have been met;</w:t>
      </w:r>
    </w:p>
    <w:p w14:paraId="2248DD41" w14:textId="77777777" w:rsidR="002D7C40" w:rsidRPr="002D7C40" w:rsidRDefault="002D7C40" w:rsidP="00533678">
      <w:pPr>
        <w:widowControl/>
        <w:tabs>
          <w:tab w:val="left" w:pos="-864"/>
          <w:tab w:val="left" w:pos="-144"/>
          <w:tab w:val="left" w:pos="594"/>
          <w:tab w:val="left" w:pos="144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autoSpaceDE/>
        <w:autoSpaceDN/>
        <w:adjustRightInd/>
        <w:ind w:left="1440" w:hanging="720"/>
        <w:jc w:val="both"/>
        <w:rPr>
          <w:sz w:val="22"/>
          <w:szCs w:val="22"/>
          <w:lang w:eastAsia="ja-JP"/>
        </w:rPr>
      </w:pPr>
    </w:p>
    <w:p w14:paraId="605CCE78" w14:textId="77777777" w:rsidR="002D7C40" w:rsidRPr="002D7C40" w:rsidRDefault="002D7C40" w:rsidP="00533678">
      <w:pPr>
        <w:widowControl/>
        <w:tabs>
          <w:tab w:val="left" w:pos="-864"/>
          <w:tab w:val="left" w:pos="-144"/>
          <w:tab w:val="left" w:pos="594"/>
          <w:tab w:val="left" w:pos="144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autoSpaceDE/>
        <w:autoSpaceDN/>
        <w:adjustRightInd/>
        <w:ind w:left="1440" w:hanging="720"/>
        <w:jc w:val="both"/>
        <w:rPr>
          <w:sz w:val="22"/>
          <w:szCs w:val="22"/>
          <w:lang w:eastAsia="ja-JP"/>
        </w:rPr>
      </w:pPr>
      <w:r w:rsidRPr="002D7C40">
        <w:rPr>
          <w:sz w:val="22"/>
          <w:szCs w:val="22"/>
          <w:lang w:eastAsia="ja-JP"/>
        </w:rPr>
        <w:t>6.</w:t>
      </w:r>
      <w:r w:rsidRPr="002D7C40">
        <w:rPr>
          <w:sz w:val="22"/>
          <w:szCs w:val="22"/>
          <w:lang w:eastAsia="ja-JP"/>
        </w:rPr>
        <w:tab/>
        <w:t>The State Treasurer's investment pool (STAR Ohio);</w:t>
      </w:r>
    </w:p>
    <w:p w14:paraId="6369B2D9" w14:textId="77777777" w:rsidR="002D7C40" w:rsidRPr="00453AF5" w:rsidRDefault="002D7C40" w:rsidP="00533678">
      <w:pPr>
        <w:widowControl/>
        <w:tabs>
          <w:tab w:val="left" w:pos="-864"/>
          <w:tab w:val="left" w:pos="-144"/>
          <w:tab w:val="left" w:pos="594"/>
          <w:tab w:val="left" w:pos="1296"/>
          <w:tab w:val="left" w:pos="144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autoSpaceDE/>
        <w:autoSpaceDN/>
        <w:adjustRightInd/>
        <w:ind w:left="1440" w:hanging="720"/>
        <w:jc w:val="both"/>
        <w:rPr>
          <w:sz w:val="22"/>
          <w:szCs w:val="22"/>
          <w:lang w:eastAsia="ja-JP"/>
        </w:rPr>
      </w:pPr>
    </w:p>
    <w:p w14:paraId="68FF2631" w14:textId="77777777" w:rsidR="00453AF5" w:rsidRPr="00453AF5" w:rsidRDefault="002D7C40" w:rsidP="00533678">
      <w:pPr>
        <w:widowControl/>
        <w:ind w:left="1440" w:hanging="720"/>
        <w:jc w:val="both"/>
        <w:rPr>
          <w:sz w:val="22"/>
          <w:szCs w:val="22"/>
          <w:lang w:eastAsia="ja-JP"/>
        </w:rPr>
      </w:pPr>
      <w:r w:rsidRPr="00453AF5">
        <w:rPr>
          <w:sz w:val="22"/>
          <w:szCs w:val="22"/>
          <w:lang w:eastAsia="ja-JP"/>
        </w:rPr>
        <w:t>7.</w:t>
      </w:r>
      <w:r w:rsidRPr="00453AF5">
        <w:rPr>
          <w:sz w:val="22"/>
          <w:szCs w:val="22"/>
          <w:lang w:eastAsia="ja-JP"/>
        </w:rPr>
        <w:tab/>
      </w:r>
      <w:r w:rsidR="00453AF5" w:rsidRPr="00453AF5">
        <w:rPr>
          <w:sz w:val="22"/>
          <w:szCs w:val="22"/>
        </w:rPr>
        <w:t>Certain bankers’ acceptances (for a period not to exceed one hundred eighty days) and commercial paper notes (for a period not to exceed two hundred seventy days) in an amount not to exceed 40 percent of the interim monies available for investment at any one time</w:t>
      </w:r>
      <w:r w:rsidR="00453AF5" w:rsidRPr="00453AF5">
        <w:rPr>
          <w:sz w:val="22"/>
          <w:szCs w:val="22"/>
          <w:lang w:eastAsia="ja-JP"/>
        </w:rPr>
        <w:t xml:space="preserve"> if training requirements have been met; and</w:t>
      </w:r>
    </w:p>
    <w:p w14:paraId="1F690D34" w14:textId="77777777" w:rsidR="002D7C40" w:rsidRPr="002D7C40" w:rsidRDefault="002D7C40" w:rsidP="00533678">
      <w:pPr>
        <w:widowControl/>
        <w:tabs>
          <w:tab w:val="left" w:pos="-864"/>
          <w:tab w:val="left" w:pos="-144"/>
          <w:tab w:val="left" w:pos="594"/>
          <w:tab w:val="left" w:pos="144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autoSpaceDE/>
        <w:autoSpaceDN/>
        <w:adjustRightInd/>
        <w:ind w:left="1440" w:hanging="720"/>
        <w:jc w:val="both"/>
        <w:rPr>
          <w:sz w:val="22"/>
          <w:szCs w:val="22"/>
          <w:lang w:eastAsia="ja-JP"/>
        </w:rPr>
      </w:pPr>
    </w:p>
    <w:p w14:paraId="1C2C50D8" w14:textId="77777777" w:rsidR="002D7C40" w:rsidRPr="002D7C40" w:rsidRDefault="002D7C40" w:rsidP="00533678">
      <w:pPr>
        <w:widowControl/>
        <w:tabs>
          <w:tab w:val="left" w:pos="-864"/>
          <w:tab w:val="left" w:pos="-144"/>
          <w:tab w:val="left" w:pos="594"/>
          <w:tab w:val="left" w:pos="144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autoSpaceDE/>
        <w:autoSpaceDN/>
        <w:adjustRightInd/>
        <w:ind w:left="1440" w:hanging="720"/>
        <w:jc w:val="both"/>
        <w:rPr>
          <w:sz w:val="22"/>
          <w:szCs w:val="22"/>
          <w:lang w:eastAsia="ja-JP"/>
        </w:rPr>
      </w:pPr>
      <w:r w:rsidRPr="002D7C40">
        <w:rPr>
          <w:sz w:val="22"/>
          <w:szCs w:val="22"/>
          <w:lang w:eastAsia="ja-JP"/>
        </w:rPr>
        <w:t>8.</w:t>
      </w:r>
      <w:r w:rsidRPr="002D7C40">
        <w:rPr>
          <w:sz w:val="22"/>
          <w:szCs w:val="22"/>
          <w:lang w:eastAsia="ja-JP"/>
        </w:rPr>
        <w:tab/>
      </w:r>
      <w:r w:rsidRPr="002D7C40">
        <w:rPr>
          <w:sz w:val="22"/>
          <w:szCs w:val="22"/>
        </w:rPr>
        <w:t>Written repurchase agreements in the securities described in (1) or (2) provided the market value of the securities subject to the repurchase agreement must exceed the principal value of the agreement by at least two percent and be marked to market daily, and the term of the agreement must not exceed thirty days.</w:t>
      </w:r>
    </w:p>
    <w:p w14:paraId="6B2636D9" w14:textId="77777777" w:rsidR="002D7C40" w:rsidRPr="002D7C40" w:rsidRDefault="002D7C40" w:rsidP="00533678">
      <w:pPr>
        <w:widowControl/>
        <w:tabs>
          <w:tab w:val="left" w:pos="-864"/>
          <w:tab w:val="left" w:pos="-144"/>
          <w:tab w:val="left" w:pos="594"/>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autoSpaceDE/>
        <w:autoSpaceDN/>
        <w:adjustRightInd/>
        <w:jc w:val="both"/>
        <w:rPr>
          <w:sz w:val="22"/>
          <w:szCs w:val="22"/>
          <w:lang w:eastAsia="ja-JP"/>
        </w:rPr>
      </w:pPr>
    </w:p>
    <w:p w14:paraId="34130E81" w14:textId="77777777" w:rsidR="002D7C40" w:rsidRPr="002D7C40" w:rsidRDefault="00016F74" w:rsidP="00533678">
      <w:pPr>
        <w:widowControl/>
        <w:tabs>
          <w:tab w:val="left" w:pos="-360"/>
          <w:tab w:val="left" w:pos="-72"/>
          <w:tab w:val="left" w:pos="216"/>
          <w:tab w:val="left" w:pos="504"/>
          <w:tab w:val="left" w:pos="792"/>
          <w:tab w:val="left" w:pos="1080"/>
          <w:tab w:val="left" w:pos="1368"/>
          <w:tab w:val="left" w:pos="1440"/>
          <w:tab w:val="left" w:pos="1656"/>
          <w:tab w:val="left" w:pos="1944"/>
          <w:tab w:val="left" w:pos="2232"/>
          <w:tab w:val="left" w:pos="2520"/>
          <w:tab w:val="left" w:pos="2808"/>
          <w:tab w:val="left" w:pos="3096"/>
          <w:tab w:val="left" w:pos="3384"/>
          <w:tab w:val="left" w:pos="3672"/>
          <w:tab w:val="left" w:pos="3960"/>
          <w:tab w:val="left" w:pos="4248"/>
          <w:tab w:val="left" w:pos="4536"/>
          <w:tab w:val="left" w:pos="4824"/>
          <w:tab w:val="left" w:pos="5112"/>
          <w:tab w:val="left" w:pos="5400"/>
          <w:tab w:val="left" w:pos="5688"/>
          <w:tab w:val="left" w:pos="5976"/>
        </w:tabs>
        <w:jc w:val="both"/>
        <w:rPr>
          <w:sz w:val="22"/>
          <w:szCs w:val="22"/>
          <w:lang w:eastAsia="ja-JP"/>
        </w:rPr>
      </w:pPr>
      <w:r w:rsidRPr="005374C3">
        <w:rPr>
          <w:sz w:val="22"/>
          <w:szCs w:val="22"/>
        </w:rPr>
        <w:t>Investments in stripped principal or interest obligations, reverse repurchase agreements, and derivatives are prohibited.  The issuance of taxable notes for the purpose of arbitrage, the use of leverage, and short selling are also prohibited</w:t>
      </w:r>
      <w:r w:rsidRPr="00BA56F7">
        <w:rPr>
          <w:i/>
          <w:sz w:val="22"/>
          <w:szCs w:val="22"/>
        </w:rPr>
        <w:t xml:space="preserve">.  </w:t>
      </w:r>
      <w:r w:rsidR="00BA56F7" w:rsidRPr="00BA56F7">
        <w:rPr>
          <w:sz w:val="22"/>
          <w:szCs w:val="22"/>
          <w:highlight w:val="green"/>
          <w:lang w:eastAsia="ja-JP"/>
        </w:rPr>
        <w:t>Except as noted above, a</w:t>
      </w:r>
      <w:r w:rsidRPr="00BA56F7">
        <w:rPr>
          <w:sz w:val="22"/>
          <w:szCs w:val="22"/>
          <w:highlight w:val="green"/>
        </w:rPr>
        <w:t xml:space="preserve">n investment must mature within five years from the date of purchase, unless matched to a specific obligation or debt of the </w:t>
      </w:r>
      <w:r w:rsidR="00974DCB" w:rsidRPr="00BA56F7">
        <w:rPr>
          <w:sz w:val="22"/>
          <w:szCs w:val="22"/>
          <w:highlight w:val="green"/>
        </w:rPr>
        <w:t>Library</w:t>
      </w:r>
      <w:r w:rsidRPr="00BA56F7">
        <w:rPr>
          <w:sz w:val="22"/>
          <w:szCs w:val="22"/>
          <w:highlight w:val="green"/>
        </w:rPr>
        <w:t>, and must be purchased with the expectation that it will be held to maturity.</w:t>
      </w:r>
      <w:r w:rsidR="002028A2" w:rsidRPr="002D7C40">
        <w:rPr>
          <w:i/>
          <w:sz w:val="22"/>
          <w:szCs w:val="22"/>
        </w:rPr>
        <w:t xml:space="preserve"> </w:t>
      </w:r>
      <w:r w:rsidR="002D7C40" w:rsidRPr="002D7C40">
        <w:rPr>
          <w:b/>
          <w:i/>
          <w:sz w:val="22"/>
          <w:szCs w:val="22"/>
          <w:highlight w:val="yellow"/>
          <w:lang w:eastAsia="ja-JP"/>
        </w:rPr>
        <w:t>(delete if included as part of interest rate risk)</w:t>
      </w:r>
    </w:p>
    <w:p w14:paraId="5A204573" w14:textId="77777777" w:rsidR="00830E66" w:rsidRDefault="00830E66" w:rsidP="00533678">
      <w:pPr>
        <w:widowControl/>
        <w:jc w:val="both"/>
        <w:rPr>
          <w:sz w:val="22"/>
          <w:szCs w:val="22"/>
        </w:rPr>
      </w:pPr>
    </w:p>
    <w:p w14:paraId="00EF851D" w14:textId="621EE9C9" w:rsidR="00830E66" w:rsidRDefault="00830E66" w:rsidP="00533678">
      <w:pPr>
        <w:widowControl/>
        <w:jc w:val="both"/>
        <w:rPr>
          <w:sz w:val="22"/>
          <w:szCs w:val="22"/>
        </w:rPr>
      </w:pPr>
      <w:r>
        <w:rPr>
          <w:sz w:val="22"/>
          <w:szCs w:val="22"/>
        </w:rPr>
        <w:t>I</w:t>
      </w:r>
      <w:r w:rsidRPr="00F716A9">
        <w:rPr>
          <w:sz w:val="22"/>
          <w:szCs w:val="22"/>
        </w:rPr>
        <w:t>nvestments may only be made through specified dealers and institutions.</w:t>
      </w:r>
      <w:r>
        <w:rPr>
          <w:sz w:val="22"/>
          <w:szCs w:val="22"/>
        </w:rPr>
        <w:t xml:space="preserve">  Payment for investments may be made only upon delivery of the securities representing the investments to the </w:t>
      </w:r>
      <w:r w:rsidR="003407B0">
        <w:rPr>
          <w:sz w:val="22"/>
          <w:szCs w:val="22"/>
          <w:highlight w:val="green"/>
        </w:rPr>
        <w:t>Clerk/T</w:t>
      </w:r>
      <w:r w:rsidRPr="00BA56F7">
        <w:rPr>
          <w:sz w:val="22"/>
          <w:szCs w:val="22"/>
          <w:highlight w:val="green"/>
        </w:rPr>
        <w:t>reasurer</w:t>
      </w:r>
      <w:r>
        <w:rPr>
          <w:sz w:val="22"/>
          <w:szCs w:val="22"/>
        </w:rPr>
        <w:t xml:space="preserve"> or, if the securities are not represented by a certificate, upon receipt of confirmation of transfer from the custodian.  </w:t>
      </w:r>
    </w:p>
    <w:p w14:paraId="45CEF242" w14:textId="77777777" w:rsidR="000B11F4" w:rsidRPr="00F716A9" w:rsidRDefault="000B11F4" w:rsidP="00533678">
      <w:pPr>
        <w:widowControl/>
        <w:jc w:val="both"/>
        <w:rPr>
          <w:sz w:val="22"/>
          <w:szCs w:val="22"/>
        </w:rPr>
      </w:pPr>
    </w:p>
    <w:p w14:paraId="7FD25524" w14:textId="77777777" w:rsidR="00016F74" w:rsidRPr="005374C3" w:rsidRDefault="00016F74" w:rsidP="00533678">
      <w:pPr>
        <w:widowControl/>
        <w:jc w:val="both"/>
        <w:rPr>
          <w:sz w:val="22"/>
          <w:szCs w:val="22"/>
        </w:rPr>
      </w:pPr>
      <w:r w:rsidRPr="002D7C40">
        <w:rPr>
          <w:sz w:val="22"/>
          <w:szCs w:val="22"/>
          <w:highlight w:val="green"/>
        </w:rPr>
        <w:t xml:space="preserve">At year end, the </w:t>
      </w:r>
      <w:r w:rsidR="00974DCB" w:rsidRPr="002D7C40">
        <w:rPr>
          <w:sz w:val="22"/>
          <w:szCs w:val="22"/>
          <w:highlight w:val="green"/>
        </w:rPr>
        <w:t>Library</w:t>
      </w:r>
      <w:r w:rsidRPr="002D7C40">
        <w:rPr>
          <w:sz w:val="22"/>
          <w:szCs w:val="22"/>
          <w:highlight w:val="green"/>
        </w:rPr>
        <w:t xml:space="preserve"> had $________ in undeposited cash on hand which is included as part of </w:t>
      </w:r>
      <w:r w:rsidR="00CA0D3F" w:rsidRPr="002D7C40">
        <w:rPr>
          <w:sz w:val="22"/>
          <w:szCs w:val="22"/>
          <w:highlight w:val="green"/>
        </w:rPr>
        <w:t xml:space="preserve">“Cash” or </w:t>
      </w:r>
      <w:r w:rsidRPr="002D7C40">
        <w:rPr>
          <w:i/>
          <w:sz w:val="22"/>
          <w:szCs w:val="22"/>
          <w:highlight w:val="green"/>
        </w:rPr>
        <w:t>“</w:t>
      </w:r>
      <w:r w:rsidRPr="0050650A">
        <w:rPr>
          <w:sz w:val="22"/>
          <w:szCs w:val="22"/>
          <w:highlight w:val="green"/>
        </w:rPr>
        <w:t>Equity in Pooled Cash and Cash Equivalents</w:t>
      </w:r>
      <w:r w:rsidRPr="002D7C40">
        <w:rPr>
          <w:i/>
          <w:sz w:val="22"/>
          <w:szCs w:val="22"/>
          <w:highlight w:val="green"/>
        </w:rPr>
        <w:t>”</w:t>
      </w:r>
      <w:r w:rsidR="00CA0D3F" w:rsidRPr="002D7C40">
        <w:rPr>
          <w:sz w:val="22"/>
          <w:szCs w:val="22"/>
          <w:highlight w:val="green"/>
        </w:rPr>
        <w:t xml:space="preserve"> </w:t>
      </w:r>
      <w:r w:rsidR="00CA0D3F" w:rsidRPr="00BA56F7">
        <w:rPr>
          <w:sz w:val="22"/>
          <w:szCs w:val="22"/>
          <w:highlight w:val="yellow"/>
        </w:rPr>
        <w:t xml:space="preserve">(choose the appropriate account) </w:t>
      </w:r>
      <w:r w:rsidR="00CA0D3F" w:rsidRPr="002D7C40">
        <w:rPr>
          <w:sz w:val="22"/>
          <w:szCs w:val="22"/>
          <w:highlight w:val="green"/>
        </w:rPr>
        <w:t>on the financial statements</w:t>
      </w:r>
      <w:r w:rsidRPr="002D7C40">
        <w:rPr>
          <w:sz w:val="22"/>
          <w:szCs w:val="22"/>
          <w:highlight w:val="green"/>
        </w:rPr>
        <w:t>.</w:t>
      </w:r>
    </w:p>
    <w:p w14:paraId="31AE0BE6" w14:textId="77777777" w:rsidR="0020640C" w:rsidRDefault="0020640C" w:rsidP="00533678">
      <w:pPr>
        <w:widowControl/>
        <w:jc w:val="both"/>
        <w:rPr>
          <w:b/>
          <w:i/>
          <w:sz w:val="22"/>
          <w:szCs w:val="22"/>
        </w:rPr>
      </w:pPr>
    </w:p>
    <w:p w14:paraId="43193B58" w14:textId="0998457A" w:rsidR="00016F74" w:rsidRPr="005374C3" w:rsidRDefault="00016F74" w:rsidP="00533678">
      <w:pPr>
        <w:widowControl/>
        <w:jc w:val="both"/>
        <w:rPr>
          <w:b/>
          <w:i/>
          <w:sz w:val="22"/>
          <w:szCs w:val="22"/>
        </w:rPr>
      </w:pPr>
      <w:r w:rsidRPr="005374C3">
        <w:rPr>
          <w:b/>
          <w:i/>
          <w:sz w:val="22"/>
          <w:szCs w:val="22"/>
        </w:rPr>
        <w:t>Deposits</w:t>
      </w:r>
    </w:p>
    <w:p w14:paraId="3A066853" w14:textId="77777777" w:rsidR="00582CAE" w:rsidRDefault="00582CAE" w:rsidP="00533678">
      <w:pPr>
        <w:widowControl/>
        <w:jc w:val="both"/>
        <w:rPr>
          <w:i/>
          <w:sz w:val="22"/>
          <w:szCs w:val="22"/>
        </w:rPr>
      </w:pPr>
    </w:p>
    <w:p w14:paraId="22DD0B53" w14:textId="77777777" w:rsidR="008231B8" w:rsidRDefault="008231B8" w:rsidP="00533678">
      <w:pPr>
        <w:widowControl/>
        <w:tabs>
          <w:tab w:val="left" w:pos="-1180"/>
          <w:tab w:val="left" w:pos="-720"/>
          <w:tab w:val="left" w:pos="0"/>
          <w:tab w:val="left" w:pos="480"/>
          <w:tab w:val="right" w:pos="6192"/>
          <w:tab w:val="right" w:pos="7830"/>
          <w:tab w:val="left" w:pos="8910"/>
        </w:tabs>
        <w:spacing w:line="236" w:lineRule="auto"/>
        <w:jc w:val="both"/>
        <w:rPr>
          <w:i/>
          <w:sz w:val="22"/>
          <w:szCs w:val="22"/>
        </w:rPr>
      </w:pPr>
      <w:r w:rsidRPr="000B0C4A">
        <w:rPr>
          <w:bCs/>
          <w:i/>
          <w:sz w:val="22"/>
          <w:szCs w:val="22"/>
          <w:highlight w:val="yellow"/>
        </w:rPr>
        <w:t xml:space="preserve">Effective July 1, 2017, the Ohio Pooled Collateral System (OPCS) was implemented by the Office of the Ohio Treasurer of State.  Financial institutions </w:t>
      </w:r>
      <w:r w:rsidRPr="001423F2">
        <w:rPr>
          <w:bCs/>
          <w:i/>
          <w:sz w:val="22"/>
          <w:szCs w:val="22"/>
          <w:highlight w:val="yellow"/>
        </w:rPr>
        <w:t xml:space="preserve">have the option of </w:t>
      </w:r>
      <w:r w:rsidRPr="000B0C4A">
        <w:rPr>
          <w:bCs/>
          <w:i/>
          <w:sz w:val="22"/>
          <w:szCs w:val="22"/>
          <w:highlight w:val="yellow"/>
        </w:rPr>
        <w:t>participat</w:t>
      </w:r>
      <w:r w:rsidRPr="001423F2">
        <w:rPr>
          <w:bCs/>
          <w:i/>
          <w:sz w:val="22"/>
          <w:szCs w:val="22"/>
          <w:highlight w:val="yellow"/>
        </w:rPr>
        <w:t>ing in</w:t>
      </w:r>
      <w:r w:rsidRPr="000B0C4A">
        <w:rPr>
          <w:bCs/>
          <w:i/>
          <w:sz w:val="22"/>
          <w:szCs w:val="22"/>
          <w:highlight w:val="yellow"/>
        </w:rPr>
        <w:t xml:space="preserve"> OPCS</w:t>
      </w:r>
      <w:r>
        <w:rPr>
          <w:bCs/>
          <w:i/>
          <w:sz w:val="22"/>
          <w:szCs w:val="22"/>
          <w:highlight w:val="yellow"/>
        </w:rPr>
        <w:t xml:space="preserve"> or co</w:t>
      </w:r>
      <w:r w:rsidRPr="000B0C4A">
        <w:rPr>
          <w:bCs/>
          <w:i/>
          <w:sz w:val="22"/>
          <w:szCs w:val="22"/>
          <w:highlight w:val="yellow"/>
        </w:rPr>
        <w:t>llateraliz</w:t>
      </w:r>
      <w:r>
        <w:rPr>
          <w:bCs/>
          <w:i/>
          <w:sz w:val="22"/>
          <w:szCs w:val="22"/>
          <w:highlight w:val="yellow"/>
        </w:rPr>
        <w:t>ing</w:t>
      </w:r>
      <w:r w:rsidRPr="000B0C4A">
        <w:rPr>
          <w:bCs/>
          <w:i/>
          <w:sz w:val="22"/>
          <w:szCs w:val="22"/>
          <w:highlight w:val="yellow"/>
        </w:rPr>
        <w:t xml:space="preserve"> utilizing the specific pledge method.</w:t>
      </w:r>
      <w:r w:rsidRPr="001423F2">
        <w:rPr>
          <w:bCs/>
          <w:i/>
          <w:sz w:val="22"/>
          <w:szCs w:val="22"/>
          <w:highlight w:val="yellow"/>
        </w:rPr>
        <w:t xml:space="preserve"> </w:t>
      </w:r>
      <w:r>
        <w:rPr>
          <w:bCs/>
          <w:i/>
          <w:sz w:val="22"/>
          <w:szCs w:val="22"/>
          <w:highlight w:val="yellow"/>
        </w:rPr>
        <w:t xml:space="preserve"> The following n</w:t>
      </w:r>
      <w:r w:rsidRPr="001423F2">
        <w:rPr>
          <w:i/>
          <w:sz w:val="22"/>
          <w:szCs w:val="22"/>
          <w:highlight w:val="yellow"/>
        </w:rPr>
        <w:t xml:space="preserve">ote </w:t>
      </w:r>
      <w:r w:rsidRPr="00491619">
        <w:rPr>
          <w:i/>
          <w:sz w:val="22"/>
          <w:szCs w:val="22"/>
          <w:highlight w:val="yellow"/>
        </w:rPr>
        <w:t xml:space="preserve">will need to be customized to fit the </w:t>
      </w:r>
      <w:r>
        <w:rPr>
          <w:i/>
          <w:sz w:val="22"/>
          <w:szCs w:val="22"/>
          <w:highlight w:val="yellow"/>
        </w:rPr>
        <w:t>Library’</w:t>
      </w:r>
      <w:r w:rsidRPr="00491619">
        <w:rPr>
          <w:i/>
          <w:sz w:val="22"/>
          <w:szCs w:val="22"/>
          <w:highlight w:val="yellow"/>
        </w:rPr>
        <w:t>s specific situation:  1)</w:t>
      </w:r>
      <w:r w:rsidR="00BA56F7">
        <w:rPr>
          <w:i/>
          <w:sz w:val="22"/>
          <w:szCs w:val="22"/>
          <w:highlight w:val="yellow"/>
        </w:rPr>
        <w:t xml:space="preserve"> Participating in OPCS</w:t>
      </w:r>
      <w:r w:rsidRPr="00491619">
        <w:rPr>
          <w:i/>
          <w:sz w:val="22"/>
          <w:szCs w:val="22"/>
          <w:highlight w:val="yellow"/>
        </w:rPr>
        <w:t xml:space="preserve"> </w:t>
      </w:r>
      <w:r w:rsidR="00BA56F7">
        <w:rPr>
          <w:i/>
          <w:sz w:val="22"/>
          <w:szCs w:val="22"/>
          <w:highlight w:val="yellow"/>
        </w:rPr>
        <w:t xml:space="preserve">or </w:t>
      </w:r>
      <w:r>
        <w:rPr>
          <w:i/>
          <w:sz w:val="22"/>
          <w:szCs w:val="22"/>
          <w:highlight w:val="yellow"/>
        </w:rPr>
        <w:t>2</w:t>
      </w:r>
      <w:r w:rsidRPr="00491619">
        <w:rPr>
          <w:i/>
          <w:sz w:val="22"/>
          <w:szCs w:val="22"/>
          <w:highlight w:val="yellow"/>
        </w:rPr>
        <w:t>) Financial institution utilizing specific securities to collateralize deposits</w:t>
      </w:r>
      <w:r w:rsidR="00BA56F7">
        <w:rPr>
          <w:i/>
          <w:sz w:val="22"/>
          <w:szCs w:val="22"/>
        </w:rPr>
        <w:t>.</w:t>
      </w:r>
    </w:p>
    <w:p w14:paraId="15083A75" w14:textId="77777777" w:rsidR="003407B0" w:rsidRPr="008C4467" w:rsidRDefault="003407B0" w:rsidP="00533678">
      <w:pPr>
        <w:widowControl/>
        <w:tabs>
          <w:tab w:val="left" w:pos="-1180"/>
          <w:tab w:val="left" w:pos="-720"/>
          <w:tab w:val="left" w:pos="0"/>
          <w:tab w:val="left" w:pos="480"/>
          <w:tab w:val="right" w:pos="6192"/>
          <w:tab w:val="right" w:pos="7830"/>
          <w:tab w:val="left" w:pos="8910"/>
        </w:tabs>
        <w:spacing w:line="236" w:lineRule="auto"/>
        <w:jc w:val="both"/>
        <w:rPr>
          <w:i/>
          <w:sz w:val="22"/>
          <w:szCs w:val="22"/>
        </w:rPr>
      </w:pPr>
    </w:p>
    <w:p w14:paraId="77B76308" w14:textId="77777777" w:rsidR="00BA56F7" w:rsidRPr="000D3FE1" w:rsidRDefault="008231B8" w:rsidP="00533678">
      <w:pPr>
        <w:widowControl/>
        <w:tabs>
          <w:tab w:val="left" w:pos="-720"/>
          <w:tab w:val="left" w:pos="0"/>
          <w:tab w:val="left" w:pos="480"/>
          <w:tab w:val="left" w:pos="8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jc w:val="both"/>
        <w:rPr>
          <w:sz w:val="22"/>
          <w:szCs w:val="22"/>
          <w:highlight w:val="cyan"/>
        </w:rPr>
      </w:pPr>
      <w:r w:rsidRPr="00D930DB">
        <w:rPr>
          <w:sz w:val="22"/>
          <w:szCs w:val="22"/>
          <w:highlight w:val="yellow"/>
        </w:rPr>
        <w:t>(Delete if no such exposure.)</w:t>
      </w:r>
      <w:r w:rsidRPr="00D930DB">
        <w:rPr>
          <w:sz w:val="22"/>
          <w:szCs w:val="22"/>
        </w:rPr>
        <w:t xml:space="preserve">  </w:t>
      </w:r>
      <w:r w:rsidRPr="00D930DB">
        <w:rPr>
          <w:sz w:val="22"/>
          <w:szCs w:val="22"/>
          <w:highlight w:val="green"/>
        </w:rPr>
        <w:t xml:space="preserve">Custodial credit risk is the risk that in the event of bank failure, the </w:t>
      </w:r>
      <w:r w:rsidR="009259A0">
        <w:rPr>
          <w:sz w:val="22"/>
          <w:szCs w:val="22"/>
          <w:highlight w:val="green"/>
        </w:rPr>
        <w:t>Library</w:t>
      </w:r>
      <w:r w:rsidRPr="00D930DB">
        <w:rPr>
          <w:sz w:val="22"/>
          <w:szCs w:val="22"/>
          <w:highlight w:val="green"/>
        </w:rPr>
        <w:t xml:space="preserve"> will not be able to recover deposits or collateral securities that are in the possession of an outside party.  At year end, $___________ of the </w:t>
      </w:r>
      <w:r w:rsidR="009259A0">
        <w:rPr>
          <w:sz w:val="22"/>
          <w:szCs w:val="22"/>
          <w:highlight w:val="green"/>
        </w:rPr>
        <w:t>Library</w:t>
      </w:r>
      <w:r w:rsidRPr="00D930DB">
        <w:rPr>
          <w:sz w:val="22"/>
          <w:szCs w:val="22"/>
          <w:highlight w:val="green"/>
        </w:rPr>
        <w:t xml:space="preserve">’s bank balance of $____________ was exposed to custodial credit risk because those deposits were uninsured and </w:t>
      </w:r>
      <w:r>
        <w:rPr>
          <w:sz w:val="22"/>
          <w:szCs w:val="22"/>
          <w:highlight w:val="green"/>
        </w:rPr>
        <w:t>un</w:t>
      </w:r>
      <w:r w:rsidRPr="00861777">
        <w:rPr>
          <w:sz w:val="22"/>
          <w:szCs w:val="22"/>
          <w:highlight w:val="green"/>
        </w:rPr>
        <w:t>collateralized</w:t>
      </w:r>
      <w:r>
        <w:rPr>
          <w:sz w:val="22"/>
          <w:szCs w:val="22"/>
          <w:highlight w:val="green"/>
        </w:rPr>
        <w:t>.</w:t>
      </w:r>
      <w:r w:rsidRPr="00861777">
        <w:rPr>
          <w:sz w:val="22"/>
          <w:szCs w:val="22"/>
          <w:highlight w:val="green"/>
        </w:rPr>
        <w:t xml:space="preserve"> </w:t>
      </w:r>
      <w:r w:rsidR="00BA56F7">
        <w:rPr>
          <w:sz w:val="22"/>
          <w:szCs w:val="22"/>
          <w:highlight w:val="green"/>
        </w:rPr>
        <w:t xml:space="preserve"> </w:t>
      </w:r>
      <w:r w:rsidR="009259A0">
        <w:rPr>
          <w:sz w:val="22"/>
          <w:szCs w:val="22"/>
          <w:highlight w:val="green"/>
        </w:rPr>
        <w:t>The Library</w:t>
      </w:r>
      <w:r w:rsidRPr="00AD23FE">
        <w:rPr>
          <w:sz w:val="22"/>
          <w:szCs w:val="22"/>
          <w:highlight w:val="green"/>
        </w:rPr>
        <w:t>’s financial institution was approved for a reduced collateral rate of XX percent through the Ohio Pooled Collateral System.</w:t>
      </w:r>
      <w:r>
        <w:rPr>
          <w:sz w:val="22"/>
          <w:szCs w:val="22"/>
        </w:rPr>
        <w:t xml:space="preserve">   </w:t>
      </w:r>
      <w:r w:rsidRPr="00861777">
        <w:rPr>
          <w:i/>
          <w:sz w:val="22"/>
          <w:szCs w:val="22"/>
          <w:highlight w:val="yellow"/>
        </w:rPr>
        <w:t>(Modify as needed</w:t>
      </w:r>
      <w:r>
        <w:rPr>
          <w:i/>
          <w:sz w:val="22"/>
          <w:szCs w:val="22"/>
          <w:highlight w:val="yellow"/>
        </w:rPr>
        <w:t>.  Include explanation for why deposits were uncollateralized. Explanation (1)</w:t>
      </w:r>
      <w:r w:rsidR="00BA56F7">
        <w:rPr>
          <w:i/>
          <w:sz w:val="22"/>
          <w:szCs w:val="22"/>
          <w:highlight w:val="yellow"/>
        </w:rPr>
        <w:t xml:space="preserve"> </w:t>
      </w:r>
      <w:r>
        <w:rPr>
          <w:i/>
          <w:sz w:val="22"/>
          <w:szCs w:val="22"/>
          <w:highlight w:val="yellow"/>
        </w:rPr>
        <w:t>applies to local government</w:t>
      </w:r>
      <w:r w:rsidR="00BA56F7">
        <w:rPr>
          <w:i/>
          <w:sz w:val="22"/>
          <w:szCs w:val="22"/>
          <w:highlight w:val="yellow"/>
        </w:rPr>
        <w:t>s</w:t>
      </w:r>
      <w:r>
        <w:rPr>
          <w:i/>
          <w:sz w:val="22"/>
          <w:szCs w:val="22"/>
          <w:highlight w:val="yellow"/>
        </w:rPr>
        <w:t xml:space="preserve"> with financial institutions that have a reduced collateral rate.</w:t>
      </w:r>
      <w:r w:rsidRPr="00861777">
        <w:rPr>
          <w:i/>
          <w:sz w:val="22"/>
          <w:szCs w:val="22"/>
          <w:highlight w:val="yellow"/>
        </w:rPr>
        <w:t>)</w:t>
      </w:r>
      <w:r w:rsidR="00BA56F7">
        <w:rPr>
          <w:i/>
          <w:sz w:val="22"/>
          <w:szCs w:val="22"/>
          <w:highlight w:val="yellow"/>
        </w:rPr>
        <w:t xml:space="preserve"> </w:t>
      </w:r>
      <w:r w:rsidR="00BA56F7" w:rsidRPr="00BA56F7">
        <w:rPr>
          <w:i/>
          <w:sz w:val="22"/>
          <w:szCs w:val="22"/>
          <w:highlight w:val="yellow"/>
        </w:rPr>
        <w:t>Note: Collateral held by the pledging financial institution or amounts collateralized with securities held by the pledging financial institution’s trust department or agent but not in the depositor government’s name can expose the government to custodial credit risk and should be explained.</w:t>
      </w:r>
    </w:p>
    <w:p w14:paraId="515F2384" w14:textId="77777777" w:rsidR="008231B8" w:rsidRPr="00D930DB" w:rsidRDefault="008231B8" w:rsidP="00533678">
      <w:pPr>
        <w:widowControl/>
        <w:jc w:val="both"/>
        <w:rPr>
          <w:sz w:val="22"/>
          <w:szCs w:val="22"/>
          <w:highlight w:val="green"/>
        </w:rPr>
      </w:pPr>
    </w:p>
    <w:p w14:paraId="49E2514D" w14:textId="77777777" w:rsidR="008231B8" w:rsidRDefault="008231B8" w:rsidP="00533678">
      <w:pPr>
        <w:widowControl/>
        <w:jc w:val="both"/>
        <w:rPr>
          <w:sz w:val="22"/>
          <w:szCs w:val="22"/>
          <w:highlight w:val="green"/>
        </w:rPr>
      </w:pPr>
      <w:r w:rsidRPr="00D930DB">
        <w:rPr>
          <w:sz w:val="22"/>
          <w:szCs w:val="22"/>
          <w:highlight w:val="yellow"/>
        </w:rPr>
        <w:t>(Delete if no such exposure.)</w:t>
      </w:r>
      <w:r w:rsidR="009259A0">
        <w:rPr>
          <w:sz w:val="22"/>
          <w:szCs w:val="22"/>
          <w:highlight w:val="green"/>
        </w:rPr>
        <w:t>The Library</w:t>
      </w:r>
      <w:r w:rsidRPr="00D930DB">
        <w:rPr>
          <w:sz w:val="22"/>
          <w:szCs w:val="22"/>
          <w:highlight w:val="green"/>
        </w:rPr>
        <w:t xml:space="preserve"> has no deposit policy for custodial risk beyond the requirements of State statute.  Ohio law requires that deposits be either insured or be protected by</w:t>
      </w:r>
      <w:r>
        <w:rPr>
          <w:sz w:val="22"/>
          <w:szCs w:val="22"/>
          <w:highlight w:val="green"/>
        </w:rPr>
        <w:t>:</w:t>
      </w:r>
    </w:p>
    <w:p w14:paraId="0A55C25B" w14:textId="77777777" w:rsidR="008231B8" w:rsidRDefault="008231B8" w:rsidP="00533678">
      <w:pPr>
        <w:widowControl/>
        <w:jc w:val="both"/>
        <w:rPr>
          <w:sz w:val="22"/>
          <w:szCs w:val="22"/>
          <w:highlight w:val="green"/>
        </w:rPr>
      </w:pPr>
    </w:p>
    <w:p w14:paraId="170DC632" w14:textId="77777777" w:rsidR="008231B8" w:rsidRDefault="008231B8" w:rsidP="00533678">
      <w:pPr>
        <w:widowControl/>
        <w:ind w:left="720"/>
        <w:jc w:val="both"/>
        <w:rPr>
          <w:sz w:val="22"/>
          <w:szCs w:val="22"/>
          <w:highlight w:val="green"/>
        </w:rPr>
      </w:pPr>
      <w:r>
        <w:rPr>
          <w:sz w:val="22"/>
          <w:szCs w:val="22"/>
          <w:highlight w:val="green"/>
        </w:rPr>
        <w:t>E</w:t>
      </w:r>
      <w:r w:rsidRPr="00D930DB">
        <w:rPr>
          <w:sz w:val="22"/>
          <w:szCs w:val="22"/>
          <w:highlight w:val="green"/>
        </w:rPr>
        <w:t xml:space="preserve">ligible securities pledged to </w:t>
      </w:r>
      <w:r>
        <w:rPr>
          <w:sz w:val="22"/>
          <w:szCs w:val="22"/>
          <w:highlight w:val="green"/>
        </w:rPr>
        <w:t xml:space="preserve">the </w:t>
      </w:r>
      <w:proofErr w:type="gramStart"/>
      <w:r w:rsidR="009259A0">
        <w:rPr>
          <w:sz w:val="22"/>
          <w:szCs w:val="22"/>
          <w:highlight w:val="green"/>
        </w:rPr>
        <w:t>Library</w:t>
      </w:r>
      <w:proofErr w:type="gramEnd"/>
      <w:r>
        <w:rPr>
          <w:sz w:val="22"/>
          <w:szCs w:val="22"/>
          <w:highlight w:val="green"/>
        </w:rPr>
        <w:t xml:space="preserve"> </w:t>
      </w:r>
      <w:r w:rsidRPr="00D930DB">
        <w:rPr>
          <w:sz w:val="22"/>
          <w:szCs w:val="22"/>
          <w:highlight w:val="green"/>
        </w:rPr>
        <w:t>and deposited with a qualified trustee by the financial institution as security for repayment</w:t>
      </w:r>
      <w:r>
        <w:rPr>
          <w:sz w:val="22"/>
          <w:szCs w:val="22"/>
          <w:highlight w:val="green"/>
        </w:rPr>
        <w:t xml:space="preserve"> </w:t>
      </w:r>
      <w:r w:rsidRPr="00D930DB">
        <w:rPr>
          <w:sz w:val="22"/>
          <w:szCs w:val="22"/>
          <w:highlight w:val="green"/>
        </w:rPr>
        <w:t xml:space="preserve">whose market value at all times shall be at least </w:t>
      </w:r>
      <w:r w:rsidR="00BA56F7">
        <w:rPr>
          <w:sz w:val="22"/>
          <w:szCs w:val="22"/>
          <w:highlight w:val="green"/>
        </w:rPr>
        <w:t>105</w:t>
      </w:r>
      <w:r w:rsidRPr="00D930DB">
        <w:rPr>
          <w:sz w:val="22"/>
          <w:szCs w:val="22"/>
          <w:highlight w:val="green"/>
        </w:rPr>
        <w:t xml:space="preserve"> percent of the deposits being secured</w:t>
      </w:r>
      <w:r>
        <w:rPr>
          <w:sz w:val="22"/>
          <w:szCs w:val="22"/>
          <w:highlight w:val="green"/>
        </w:rPr>
        <w:t>; or</w:t>
      </w:r>
    </w:p>
    <w:p w14:paraId="06793B4B" w14:textId="77777777" w:rsidR="008231B8" w:rsidRDefault="008231B8" w:rsidP="00533678">
      <w:pPr>
        <w:widowControl/>
        <w:ind w:firstLine="720"/>
        <w:jc w:val="both"/>
        <w:rPr>
          <w:sz w:val="22"/>
          <w:szCs w:val="22"/>
          <w:highlight w:val="green"/>
        </w:rPr>
      </w:pPr>
    </w:p>
    <w:p w14:paraId="73E45887" w14:textId="77777777" w:rsidR="008231B8" w:rsidRDefault="008231B8" w:rsidP="00533678">
      <w:pPr>
        <w:widowControl/>
        <w:ind w:left="720"/>
        <w:jc w:val="both"/>
        <w:rPr>
          <w:i/>
          <w:sz w:val="22"/>
          <w:szCs w:val="22"/>
        </w:rPr>
      </w:pPr>
      <w:r>
        <w:rPr>
          <w:sz w:val="22"/>
          <w:szCs w:val="22"/>
          <w:highlight w:val="green"/>
        </w:rPr>
        <w:t>Participation in the Ohio Pooled Collateral System (OPCS), a</w:t>
      </w:r>
      <w:r w:rsidRPr="00D930DB">
        <w:rPr>
          <w:sz w:val="22"/>
          <w:szCs w:val="22"/>
          <w:highlight w:val="green"/>
        </w:rPr>
        <w:t xml:space="preserve"> collateral pool of eligible securities deposited with a qualified trustee and pledged </w:t>
      </w:r>
      <w:r>
        <w:rPr>
          <w:sz w:val="22"/>
          <w:szCs w:val="22"/>
          <w:highlight w:val="green"/>
        </w:rPr>
        <w:t xml:space="preserve">to the Treasurer of State </w:t>
      </w:r>
      <w:r w:rsidRPr="00D930DB">
        <w:rPr>
          <w:sz w:val="22"/>
          <w:szCs w:val="22"/>
          <w:highlight w:val="green"/>
        </w:rPr>
        <w:t>to secure the repayment of all public monies deposited in the financial institution</w:t>
      </w:r>
      <w:r w:rsidRPr="00491619">
        <w:rPr>
          <w:sz w:val="22"/>
          <w:szCs w:val="22"/>
          <w:highlight w:val="green"/>
        </w:rPr>
        <w:t>.</w:t>
      </w:r>
      <w:r w:rsidRPr="00491619">
        <w:rPr>
          <w:bCs/>
          <w:sz w:val="22"/>
          <w:szCs w:val="22"/>
          <w:highlight w:val="green"/>
        </w:rPr>
        <w:t xml:space="preserve">  OPCS requires the total market value of the securities pledged to be 102 percent of the deposits being secured or a rate set by the Treasurer of State. </w:t>
      </w:r>
      <w:r w:rsidRPr="00BA56F7">
        <w:rPr>
          <w:bCs/>
          <w:sz w:val="22"/>
          <w:szCs w:val="22"/>
        </w:rPr>
        <w:t xml:space="preserve"> </w:t>
      </w:r>
      <w:r w:rsidRPr="00491619">
        <w:rPr>
          <w:i/>
          <w:sz w:val="22"/>
          <w:szCs w:val="22"/>
          <w:highlight w:val="yellow"/>
        </w:rPr>
        <w:t>(Modify as needed for reduced collateral rate.)</w:t>
      </w:r>
    </w:p>
    <w:p w14:paraId="1A251A4C" w14:textId="77777777" w:rsidR="008231B8" w:rsidRPr="00BA56F7" w:rsidRDefault="008231B8" w:rsidP="00533678">
      <w:pPr>
        <w:widowControl/>
        <w:rPr>
          <w:sz w:val="22"/>
        </w:rPr>
      </w:pPr>
    </w:p>
    <w:p w14:paraId="1C6E94C7" w14:textId="77777777" w:rsidR="002D7C40" w:rsidRPr="0050650A" w:rsidRDefault="008231B8" w:rsidP="00533678">
      <w:pPr>
        <w:widowControl/>
        <w:jc w:val="both"/>
        <w:rPr>
          <w:i/>
          <w:sz w:val="24"/>
          <w:szCs w:val="22"/>
        </w:rPr>
      </w:pPr>
      <w:r w:rsidRPr="0050650A">
        <w:rPr>
          <w:i/>
          <w:sz w:val="22"/>
          <w:highlight w:val="yellow"/>
        </w:rPr>
        <w:t>Modify the above to include an explanation as to why deposits are exposed to custodial credit risk.  Amounts not collateralized for other reasons may be contrary to Ohio law and should be identified as such.</w:t>
      </w:r>
    </w:p>
    <w:p w14:paraId="594E4E7D" w14:textId="77777777" w:rsidR="002D7C40" w:rsidRPr="005374C3" w:rsidRDefault="002D7C40" w:rsidP="00533678">
      <w:pPr>
        <w:widowControl/>
        <w:jc w:val="both"/>
        <w:rPr>
          <w:b/>
          <w:i/>
          <w:sz w:val="22"/>
          <w:szCs w:val="22"/>
        </w:rPr>
      </w:pPr>
    </w:p>
    <w:p w14:paraId="2C25F418" w14:textId="77777777" w:rsidR="002D7C40" w:rsidRDefault="002D7C40" w:rsidP="00533678">
      <w:pPr>
        <w:widowControl/>
        <w:jc w:val="both"/>
        <w:rPr>
          <w:b/>
          <w:i/>
          <w:sz w:val="22"/>
          <w:szCs w:val="22"/>
        </w:rPr>
      </w:pPr>
      <w:r w:rsidRPr="005374C3">
        <w:rPr>
          <w:b/>
          <w:i/>
          <w:sz w:val="22"/>
          <w:szCs w:val="22"/>
        </w:rPr>
        <w:t>Investments</w:t>
      </w:r>
    </w:p>
    <w:p w14:paraId="4711F8A9" w14:textId="77777777" w:rsidR="002D7C40" w:rsidRDefault="002D7C40" w:rsidP="00533678">
      <w:pPr>
        <w:widowControl/>
        <w:jc w:val="both"/>
        <w:rPr>
          <w:i/>
          <w:sz w:val="22"/>
          <w:szCs w:val="22"/>
        </w:rPr>
      </w:pPr>
    </w:p>
    <w:p w14:paraId="177D513A" w14:textId="77777777" w:rsidR="002D7C40" w:rsidRPr="002D7C40" w:rsidRDefault="002D7C40" w:rsidP="00533678">
      <w:pPr>
        <w:widowControl/>
        <w:autoSpaceDE/>
        <w:autoSpaceDN/>
        <w:adjustRightInd/>
        <w:jc w:val="both"/>
        <w:rPr>
          <w:sz w:val="22"/>
          <w:szCs w:val="22"/>
        </w:rPr>
      </w:pPr>
      <w:r w:rsidRPr="002D7C40">
        <w:rPr>
          <w:sz w:val="22"/>
          <w:szCs w:val="22"/>
          <w:highlight w:val="yellow"/>
        </w:rPr>
        <w:lastRenderedPageBreak/>
        <w:t>(Delete if no such exposure.)</w:t>
      </w:r>
    </w:p>
    <w:p w14:paraId="3DA1CBC7" w14:textId="77777777" w:rsidR="002D7C40" w:rsidRPr="005374C3" w:rsidRDefault="002D7C40" w:rsidP="00533678">
      <w:pPr>
        <w:widowControl/>
        <w:jc w:val="both"/>
        <w:rPr>
          <w:i/>
          <w:sz w:val="22"/>
          <w:szCs w:val="22"/>
        </w:rPr>
      </w:pPr>
    </w:p>
    <w:p w14:paraId="0313637E" w14:textId="77777777" w:rsidR="00016F74" w:rsidRPr="005374C3" w:rsidRDefault="00215A53" w:rsidP="00533678">
      <w:pPr>
        <w:widowControl/>
        <w:jc w:val="both"/>
        <w:rPr>
          <w:sz w:val="22"/>
          <w:szCs w:val="22"/>
        </w:rPr>
      </w:pPr>
      <w:r w:rsidRPr="00215A53">
        <w:rPr>
          <w:sz w:val="22"/>
          <w:szCs w:val="22"/>
          <w:highlight w:val="green"/>
        </w:rPr>
        <w:t>The fair value of these investments is no</w:t>
      </w:r>
      <w:r w:rsidR="0030481B">
        <w:rPr>
          <w:sz w:val="22"/>
          <w:szCs w:val="22"/>
          <w:highlight w:val="green"/>
        </w:rPr>
        <w:t>t materially different from measurement value</w:t>
      </w:r>
      <w:r w:rsidRPr="00215A53">
        <w:rPr>
          <w:sz w:val="22"/>
          <w:szCs w:val="22"/>
          <w:highlight w:val="green"/>
        </w:rPr>
        <w:t>. As of December 31, 20CY, the Library had the following investments:</w:t>
      </w:r>
      <w:r w:rsidRPr="005374C3">
        <w:rPr>
          <w:sz w:val="22"/>
          <w:szCs w:val="22"/>
        </w:rPr>
        <w:t xml:space="preserve"> </w:t>
      </w:r>
      <w:r w:rsidR="004F0833" w:rsidRPr="002D7C40">
        <w:rPr>
          <w:i/>
          <w:sz w:val="22"/>
          <w:szCs w:val="22"/>
          <w:highlight w:val="yellow"/>
        </w:rPr>
        <w:t>While samples of specific identification and segmented time distribution tables follow, the Library should select one to include)</w:t>
      </w:r>
      <w:r w:rsidR="00016F74" w:rsidRPr="002D7C40">
        <w:rPr>
          <w:sz w:val="22"/>
          <w:szCs w:val="22"/>
          <w:highlight w:val="yellow"/>
        </w:rPr>
        <w:t>:</w:t>
      </w:r>
    </w:p>
    <w:p w14:paraId="19DC9638" w14:textId="77777777" w:rsidR="00C507E4" w:rsidRPr="002F02C2" w:rsidRDefault="00C507E4" w:rsidP="00533678">
      <w:pPr>
        <w:widowControl/>
        <w:jc w:val="both"/>
        <w:rPr>
          <w:sz w:val="22"/>
          <w:szCs w:val="22"/>
        </w:rPr>
      </w:pPr>
    </w:p>
    <w:bookmarkStart w:id="23" w:name="_MON_1387625292"/>
    <w:bookmarkStart w:id="24" w:name="_MON_1349607023"/>
    <w:bookmarkStart w:id="25" w:name="_MON_1349607105"/>
    <w:bookmarkStart w:id="26" w:name="_MON_1349607813"/>
    <w:bookmarkStart w:id="27" w:name="_MON_1349608291"/>
    <w:bookmarkStart w:id="28" w:name="_MON_1349611028"/>
    <w:bookmarkStart w:id="29" w:name="_MON_1349611130"/>
    <w:bookmarkStart w:id="30" w:name="_MON_1349611247"/>
    <w:bookmarkStart w:id="31" w:name="_MON_1349611280"/>
    <w:bookmarkEnd w:id="23"/>
    <w:bookmarkEnd w:id="24"/>
    <w:bookmarkEnd w:id="25"/>
    <w:bookmarkEnd w:id="26"/>
    <w:bookmarkEnd w:id="27"/>
    <w:bookmarkEnd w:id="28"/>
    <w:bookmarkEnd w:id="29"/>
    <w:bookmarkEnd w:id="30"/>
    <w:bookmarkEnd w:id="31"/>
    <w:bookmarkStart w:id="32" w:name="_MON_1369476286"/>
    <w:bookmarkEnd w:id="32"/>
    <w:p w14:paraId="3E7B93B9" w14:textId="3CBE17DC" w:rsidR="00C507E4" w:rsidRPr="00215A53" w:rsidRDefault="00AD2932" w:rsidP="00533678">
      <w:pPr>
        <w:widowControl/>
        <w:jc w:val="center"/>
        <w:rPr>
          <w:sz w:val="18"/>
          <w:szCs w:val="18"/>
          <w:highlight w:val="green"/>
        </w:rPr>
      </w:pPr>
      <w:r w:rsidRPr="00215A53">
        <w:rPr>
          <w:sz w:val="22"/>
          <w:szCs w:val="22"/>
          <w:highlight w:val="green"/>
        </w:rPr>
        <w:object w:dxaOrig="8290" w:dyaOrig="2302" w14:anchorId="5462196F">
          <v:shape id="_x0000_i1027" type="#_x0000_t75" style="width:420.6pt;height:115.2pt" o:ole="">
            <v:imagedata r:id="rId17" o:title=""/>
          </v:shape>
          <o:OLEObject Type="Embed" ProgID="Excel.Sheet.8" ShapeID="_x0000_i1027" DrawAspect="Content" ObjectID="_1798480929" r:id="rId18"/>
        </w:object>
      </w:r>
    </w:p>
    <w:p w14:paraId="25DF0596" w14:textId="77777777" w:rsidR="004F0833" w:rsidRPr="00215A53" w:rsidRDefault="004F0833" w:rsidP="00533678">
      <w:pPr>
        <w:widowControl/>
        <w:jc w:val="both"/>
        <w:rPr>
          <w:sz w:val="22"/>
          <w:szCs w:val="22"/>
          <w:highlight w:val="green"/>
        </w:rPr>
      </w:pPr>
    </w:p>
    <w:bookmarkStart w:id="33" w:name="_MON_1190698398"/>
    <w:bookmarkStart w:id="34" w:name="_MON_1192954922"/>
    <w:bookmarkStart w:id="35" w:name="_MON_1194767867"/>
    <w:bookmarkStart w:id="36" w:name="_MON_1194767886"/>
    <w:bookmarkStart w:id="37" w:name="_MON_1218629481"/>
    <w:bookmarkStart w:id="38" w:name="_MON_1219142873"/>
    <w:bookmarkStart w:id="39" w:name="_MON_1219143071"/>
    <w:bookmarkStart w:id="40" w:name="_MON_1219143223"/>
    <w:bookmarkStart w:id="41" w:name="_MON_1219143319"/>
    <w:bookmarkStart w:id="42" w:name="_MON_1219143332"/>
    <w:bookmarkStart w:id="43" w:name="_MON_1226302847"/>
    <w:bookmarkStart w:id="44" w:name="_MON_1229407267"/>
    <w:bookmarkStart w:id="45" w:name="_MON_1251701108"/>
    <w:bookmarkStart w:id="46" w:name="_MON_1251701564"/>
    <w:bookmarkStart w:id="47" w:name="_MON_1254049894"/>
    <w:bookmarkStart w:id="48" w:name="_MON_1266391023"/>
    <w:bookmarkStart w:id="49" w:name="_MON_1266391115"/>
    <w:bookmarkStart w:id="50" w:name="_MON_1266391221"/>
    <w:bookmarkStart w:id="51" w:name="_MON_1279455767"/>
    <w:bookmarkStart w:id="52" w:name="_MON_1287305116"/>
    <w:bookmarkStart w:id="53" w:name="_MON_1309327593"/>
    <w:bookmarkStart w:id="54" w:name="_MON_1309327734"/>
    <w:bookmarkStart w:id="55" w:name="_MON_1309327999"/>
    <w:bookmarkStart w:id="56" w:name="_MON_1309328305"/>
    <w:bookmarkStart w:id="57" w:name="_MON_1339405998"/>
    <w:bookmarkStart w:id="58" w:name="_MON_1343467471"/>
    <w:bookmarkStart w:id="59" w:name="_MON_1345547960"/>
    <w:bookmarkStart w:id="60" w:name="_MON_1350376550"/>
    <w:bookmarkStart w:id="61" w:name="_MON_1350376717"/>
    <w:bookmarkStart w:id="62" w:name="_MON_1350376847"/>
    <w:bookmarkStart w:id="63" w:name="_MON_1350376996"/>
    <w:bookmarkStart w:id="64" w:name="_MON_1352706715"/>
    <w:bookmarkStart w:id="65" w:name="_MON_1369476320"/>
    <w:bookmarkStart w:id="66" w:name="_MON_1387625310"/>
    <w:bookmarkStart w:id="67" w:name="_MON_1189931331"/>
    <w:bookmarkStart w:id="68" w:name="_MON_1189931577"/>
    <w:bookmarkStart w:id="69" w:name="_MON_1189931601"/>
    <w:bookmarkStart w:id="70" w:name="_MON_1189931680"/>
    <w:bookmarkStart w:id="71" w:name="_MON_1189935335"/>
    <w:bookmarkStart w:id="72" w:name="_MON_1189935347"/>
    <w:bookmarkStart w:id="73" w:name="_MON_1189935424"/>
    <w:bookmarkStart w:id="74" w:name="_MON_1189935556"/>
    <w:bookmarkStart w:id="75" w:name="_MON_1189935604"/>
    <w:bookmarkStart w:id="76" w:name="_MON_1189935648"/>
    <w:bookmarkStart w:id="77" w:name="_MON_1189935673"/>
    <w:bookmarkStart w:id="78" w:name="_MON_1189935705"/>
    <w:bookmarkStart w:id="79" w:name="_MON_1189935766"/>
    <w:bookmarkStart w:id="80" w:name="_MON_1189936900"/>
    <w:bookmarkStart w:id="81" w:name="_MON_1189936908"/>
    <w:bookmarkStart w:id="82" w:name="_MON_1189936910"/>
    <w:bookmarkStart w:id="83" w:name="_MON_1189938096"/>
    <w:bookmarkStart w:id="84" w:name="_MON_1189940141"/>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Start w:id="85" w:name="_MON_1190698220"/>
    <w:bookmarkEnd w:id="85"/>
    <w:p w14:paraId="77E61C1D" w14:textId="73D31190" w:rsidR="00CF02EA" w:rsidRPr="005374C3" w:rsidRDefault="00AD2932" w:rsidP="00533678">
      <w:pPr>
        <w:widowControl/>
        <w:jc w:val="center"/>
        <w:rPr>
          <w:sz w:val="22"/>
          <w:szCs w:val="22"/>
        </w:rPr>
      </w:pPr>
      <w:r w:rsidRPr="00215A53">
        <w:rPr>
          <w:sz w:val="22"/>
          <w:szCs w:val="22"/>
          <w:highlight w:val="green"/>
        </w:rPr>
        <w:object w:dxaOrig="10287" w:dyaOrig="3184" w14:anchorId="527696B5">
          <v:shape id="_x0000_i1028" type="#_x0000_t75" style="width:476.4pt;height:157.2pt" o:ole="">
            <v:imagedata r:id="rId19" o:title=""/>
          </v:shape>
          <o:OLEObject Type="Embed" ProgID="Excel.Sheet.8" ShapeID="_x0000_i1028" DrawAspect="Content" ObjectID="_1798480930" r:id="rId20"/>
        </w:object>
      </w:r>
    </w:p>
    <w:p w14:paraId="355CC62B" w14:textId="77777777" w:rsidR="00E111A7" w:rsidRDefault="00E111A7" w:rsidP="00533678">
      <w:pPr>
        <w:widowControl/>
        <w:jc w:val="both"/>
        <w:rPr>
          <w:b/>
          <w:i/>
          <w:sz w:val="22"/>
          <w:szCs w:val="22"/>
        </w:rPr>
      </w:pPr>
    </w:p>
    <w:p w14:paraId="51D16F75" w14:textId="644E92A6" w:rsidR="00C507E4" w:rsidRPr="00215A53" w:rsidRDefault="00C507E4" w:rsidP="00533678">
      <w:pPr>
        <w:widowControl/>
        <w:jc w:val="both"/>
        <w:rPr>
          <w:sz w:val="22"/>
          <w:szCs w:val="22"/>
        </w:rPr>
      </w:pPr>
      <w:r w:rsidRPr="00245296">
        <w:rPr>
          <w:b/>
          <w:i/>
          <w:sz w:val="22"/>
          <w:szCs w:val="22"/>
        </w:rPr>
        <w:t>Interest Rate Risk</w:t>
      </w:r>
      <w:r>
        <w:rPr>
          <w:sz w:val="22"/>
          <w:szCs w:val="22"/>
        </w:rPr>
        <w:t xml:space="preserve">  </w:t>
      </w:r>
      <w:r w:rsidR="00215A53" w:rsidRPr="00215A53">
        <w:rPr>
          <w:sz w:val="22"/>
          <w:szCs w:val="22"/>
          <w:highlight w:val="yellow"/>
        </w:rPr>
        <w:t>(Delete if no such exposure)</w:t>
      </w:r>
      <w:r>
        <w:rPr>
          <w:sz w:val="22"/>
          <w:szCs w:val="22"/>
        </w:rPr>
        <w:t xml:space="preserve"> </w:t>
      </w:r>
      <w:r w:rsidRPr="0030481B">
        <w:rPr>
          <w:sz w:val="22"/>
          <w:szCs w:val="22"/>
        </w:rPr>
        <w:t xml:space="preserve">Interest rate risk arises because potential purchasers of debt securities will not agree to pay face value for those securities if interest rates subsequently increase.  </w:t>
      </w:r>
      <w:r w:rsidRPr="00215A53">
        <w:rPr>
          <w:sz w:val="22"/>
          <w:szCs w:val="22"/>
          <w:highlight w:val="green"/>
        </w:rPr>
        <w:t xml:space="preserve">The </w:t>
      </w:r>
      <w:r w:rsidR="00A0255C" w:rsidRPr="00215A53">
        <w:rPr>
          <w:sz w:val="22"/>
          <w:szCs w:val="22"/>
          <w:highlight w:val="green"/>
        </w:rPr>
        <w:t>Library</w:t>
      </w:r>
      <w:r w:rsidRPr="00215A53">
        <w:rPr>
          <w:sz w:val="22"/>
          <w:szCs w:val="22"/>
          <w:highlight w:val="green"/>
        </w:rPr>
        <w:t xml:space="preserve">’s investment policy addresses interest rate risk by requiring </w:t>
      </w:r>
      <w:r w:rsidR="0030481B">
        <w:rPr>
          <w:sz w:val="22"/>
          <w:szCs w:val="22"/>
          <w:highlight w:val="green"/>
        </w:rPr>
        <w:t xml:space="preserve">that </w:t>
      </w:r>
      <w:r w:rsidRPr="00215A53">
        <w:rPr>
          <w:sz w:val="22"/>
          <w:szCs w:val="22"/>
          <w:highlight w:val="green"/>
        </w:rPr>
        <w:t xml:space="preserve">the </w:t>
      </w:r>
      <w:r w:rsidR="00A0255C" w:rsidRPr="00215A53">
        <w:rPr>
          <w:sz w:val="22"/>
          <w:szCs w:val="22"/>
          <w:highlight w:val="green"/>
        </w:rPr>
        <w:t>Library</w:t>
      </w:r>
      <w:r w:rsidRPr="00215A53">
        <w:rPr>
          <w:sz w:val="22"/>
          <w:szCs w:val="22"/>
          <w:highlight w:val="green"/>
        </w:rPr>
        <w:t>’s investment portfolio be structured so that securities mature to meet cash requirements for ongoing operations and/or long-term debt payments, thereby avoiding th</w:t>
      </w:r>
      <w:r w:rsidR="00830E66" w:rsidRPr="00215A53">
        <w:rPr>
          <w:sz w:val="22"/>
          <w:szCs w:val="22"/>
          <w:highlight w:val="green"/>
        </w:rPr>
        <w:t>e</w:t>
      </w:r>
      <w:r w:rsidRPr="00215A53">
        <w:rPr>
          <w:sz w:val="22"/>
          <w:szCs w:val="22"/>
          <w:highlight w:val="green"/>
        </w:rPr>
        <w:t xml:space="preserve"> need to sell securities on the open market prior to maturity, and by investing operating funds primarily in short-term investments.  </w:t>
      </w:r>
      <w:r w:rsidRPr="00BA56F7">
        <w:rPr>
          <w:i/>
          <w:sz w:val="22"/>
          <w:szCs w:val="22"/>
          <w:highlight w:val="yellow"/>
        </w:rPr>
        <w:t>(Modify as needed.)</w:t>
      </w:r>
    </w:p>
    <w:p w14:paraId="6AADBD22" w14:textId="77777777" w:rsidR="00C507E4" w:rsidRPr="002F02C2" w:rsidRDefault="00C507E4" w:rsidP="00533678">
      <w:pPr>
        <w:widowControl/>
        <w:jc w:val="both"/>
        <w:rPr>
          <w:i/>
          <w:sz w:val="22"/>
          <w:szCs w:val="22"/>
        </w:rPr>
      </w:pPr>
    </w:p>
    <w:p w14:paraId="263DB531" w14:textId="0C87CAD7" w:rsidR="00C507E4" w:rsidRPr="002F02C2" w:rsidRDefault="00C507E4" w:rsidP="00533678">
      <w:pPr>
        <w:widowControl/>
        <w:jc w:val="both"/>
        <w:rPr>
          <w:i/>
          <w:sz w:val="22"/>
          <w:szCs w:val="22"/>
        </w:rPr>
      </w:pPr>
      <w:r w:rsidRPr="00245296">
        <w:rPr>
          <w:b/>
          <w:i/>
          <w:sz w:val="22"/>
          <w:szCs w:val="22"/>
        </w:rPr>
        <w:t>Credit Risk</w:t>
      </w:r>
      <w:r>
        <w:rPr>
          <w:sz w:val="22"/>
          <w:szCs w:val="22"/>
        </w:rPr>
        <w:t xml:space="preserve">  </w:t>
      </w:r>
      <w:r w:rsidR="00215A53" w:rsidRPr="00215A53">
        <w:rPr>
          <w:sz w:val="22"/>
          <w:szCs w:val="22"/>
          <w:highlight w:val="yellow"/>
        </w:rPr>
        <w:t>(Delete if no such exposure)</w:t>
      </w:r>
      <w:r w:rsidR="00215A53">
        <w:rPr>
          <w:sz w:val="22"/>
          <w:szCs w:val="22"/>
        </w:rPr>
        <w:t xml:space="preserve"> </w:t>
      </w:r>
      <w:r>
        <w:rPr>
          <w:sz w:val="22"/>
          <w:szCs w:val="22"/>
        </w:rPr>
        <w:t xml:space="preserve"> </w:t>
      </w:r>
      <w:r w:rsidRPr="00215A53">
        <w:rPr>
          <w:sz w:val="22"/>
          <w:szCs w:val="22"/>
          <w:highlight w:val="green"/>
        </w:rPr>
        <w:t xml:space="preserve">The </w:t>
      </w:r>
      <w:r w:rsidR="00215A53" w:rsidRPr="00215A53">
        <w:rPr>
          <w:sz w:val="22"/>
          <w:szCs w:val="22"/>
          <w:highlight w:val="green"/>
        </w:rPr>
        <w:t xml:space="preserve">security underlying the repurchase agreement, the </w:t>
      </w:r>
      <w:r w:rsidRPr="00215A53">
        <w:rPr>
          <w:sz w:val="22"/>
          <w:szCs w:val="22"/>
          <w:highlight w:val="green"/>
        </w:rPr>
        <w:t>Federal National Mortgage Association Notes, Federal Home Loan Mortgage Corporation Notes</w:t>
      </w:r>
      <w:r w:rsidR="0030481B">
        <w:rPr>
          <w:sz w:val="22"/>
          <w:szCs w:val="22"/>
          <w:highlight w:val="green"/>
        </w:rPr>
        <w:t>,</w:t>
      </w:r>
      <w:r w:rsidRPr="00215A53">
        <w:rPr>
          <w:sz w:val="22"/>
          <w:szCs w:val="22"/>
          <w:highlight w:val="green"/>
        </w:rPr>
        <w:t xml:space="preserve"> and Federal Home Loan Bank Notes carry a rating of ____ by ____________ and _____ by ___________.  STAR Ohio carries a rating of </w:t>
      </w:r>
      <w:proofErr w:type="spellStart"/>
      <w:r w:rsidRPr="00215A53">
        <w:rPr>
          <w:sz w:val="22"/>
          <w:szCs w:val="22"/>
          <w:highlight w:val="green"/>
        </w:rPr>
        <w:t>AAAm</w:t>
      </w:r>
      <w:proofErr w:type="spellEnd"/>
      <w:r w:rsidRPr="00215A53">
        <w:rPr>
          <w:sz w:val="22"/>
          <w:szCs w:val="22"/>
          <w:highlight w:val="green"/>
        </w:rPr>
        <w:t xml:space="preserve"> by Standard and Poor’s.  The money market fund carries a rating of ______ by ______________.  The </w:t>
      </w:r>
      <w:r w:rsidR="00A0255C" w:rsidRPr="00215A53">
        <w:rPr>
          <w:sz w:val="22"/>
          <w:szCs w:val="22"/>
          <w:highlight w:val="green"/>
        </w:rPr>
        <w:t>Library</w:t>
      </w:r>
      <w:r w:rsidRPr="00215A53">
        <w:rPr>
          <w:sz w:val="22"/>
          <w:szCs w:val="22"/>
          <w:highlight w:val="green"/>
        </w:rPr>
        <w:t xml:space="preserve"> has no investment policy dealing with investment credit r</w:t>
      </w:r>
      <w:r w:rsidR="0030481B">
        <w:rPr>
          <w:sz w:val="22"/>
          <w:szCs w:val="22"/>
          <w:highlight w:val="green"/>
        </w:rPr>
        <w:t>isk beyond the requirements in S</w:t>
      </w:r>
      <w:r w:rsidRPr="00215A53">
        <w:rPr>
          <w:sz w:val="22"/>
          <w:szCs w:val="22"/>
          <w:highlight w:val="green"/>
        </w:rPr>
        <w:t>tate statutes.  Ohio law requires that STAR Ohio maintain the highest rating provided by at least one nationally recognize</w:t>
      </w:r>
      <w:r w:rsidRPr="00F01069">
        <w:rPr>
          <w:sz w:val="22"/>
          <w:szCs w:val="22"/>
          <w:highlight w:val="green"/>
        </w:rPr>
        <w:t xml:space="preserve">d </w:t>
      </w:r>
      <w:r w:rsidR="000B11F4" w:rsidRPr="00F01069">
        <w:rPr>
          <w:sz w:val="22"/>
          <w:szCs w:val="22"/>
          <w:highlight w:val="green"/>
        </w:rPr>
        <w:t>statistical</w:t>
      </w:r>
      <w:r w:rsidRPr="00F01069">
        <w:rPr>
          <w:sz w:val="22"/>
          <w:szCs w:val="22"/>
          <w:highlight w:val="green"/>
        </w:rPr>
        <w:t xml:space="preserve"> rating </w:t>
      </w:r>
      <w:r w:rsidR="000B11F4" w:rsidRPr="00F01069">
        <w:rPr>
          <w:sz w:val="22"/>
          <w:szCs w:val="22"/>
          <w:highlight w:val="green"/>
        </w:rPr>
        <w:t>organization</w:t>
      </w:r>
      <w:r w:rsidRPr="00F01069">
        <w:rPr>
          <w:sz w:val="22"/>
          <w:szCs w:val="22"/>
          <w:highlight w:val="green"/>
        </w:rPr>
        <w:t xml:space="preserve"> and that the money market fund be rated in the highest category at the time of purchase by at least one nationally recognized </w:t>
      </w:r>
      <w:r w:rsidR="000B11F4" w:rsidRPr="00F01069">
        <w:rPr>
          <w:sz w:val="22"/>
          <w:szCs w:val="22"/>
          <w:highlight w:val="green"/>
        </w:rPr>
        <w:t>statistical</w:t>
      </w:r>
      <w:r w:rsidRPr="00F01069">
        <w:rPr>
          <w:sz w:val="22"/>
          <w:szCs w:val="22"/>
          <w:highlight w:val="green"/>
        </w:rPr>
        <w:t xml:space="preserve"> rating </w:t>
      </w:r>
      <w:r w:rsidR="000B11F4" w:rsidRPr="00F01069">
        <w:rPr>
          <w:sz w:val="22"/>
          <w:szCs w:val="22"/>
          <w:highlight w:val="green"/>
        </w:rPr>
        <w:t>organization</w:t>
      </w:r>
      <w:r w:rsidRPr="00F01069">
        <w:rPr>
          <w:sz w:val="22"/>
          <w:szCs w:val="22"/>
          <w:highlight w:val="green"/>
        </w:rPr>
        <w:t>.  (</w:t>
      </w:r>
      <w:r w:rsidRPr="00F01069">
        <w:rPr>
          <w:i/>
          <w:sz w:val="22"/>
          <w:szCs w:val="22"/>
          <w:highlight w:val="green"/>
        </w:rPr>
        <w:t xml:space="preserve">Modify as needed.  </w:t>
      </w:r>
      <w:r w:rsidRPr="00F01069">
        <w:rPr>
          <w:bCs/>
          <w:i/>
          <w:sz w:val="22"/>
          <w:szCs w:val="22"/>
          <w:highlight w:val="green"/>
        </w:rPr>
        <w:t>ORC 13</w:t>
      </w:r>
      <w:r w:rsidRPr="00215A53">
        <w:rPr>
          <w:bCs/>
          <w:i/>
          <w:sz w:val="22"/>
          <w:szCs w:val="22"/>
          <w:highlight w:val="yellow"/>
        </w:rPr>
        <w:t xml:space="preserve">5.14 also contains credit risk requirements for commercial paper notes which could be disclosed if the </w:t>
      </w:r>
      <w:r w:rsidR="00A0255C" w:rsidRPr="00215A53">
        <w:rPr>
          <w:bCs/>
          <w:i/>
          <w:sz w:val="22"/>
          <w:szCs w:val="22"/>
          <w:highlight w:val="yellow"/>
        </w:rPr>
        <w:t>Library</w:t>
      </w:r>
      <w:r w:rsidRPr="00215A53">
        <w:rPr>
          <w:bCs/>
          <w:i/>
          <w:sz w:val="22"/>
          <w:szCs w:val="22"/>
          <w:highlight w:val="yellow"/>
        </w:rPr>
        <w:t xml:space="preserve"> invests in commercial paper notes and does not have an investment policy of its own regarding the notes.)</w:t>
      </w:r>
    </w:p>
    <w:p w14:paraId="285CEB99" w14:textId="77777777" w:rsidR="00C507E4" w:rsidRPr="002F02C2" w:rsidRDefault="00C507E4" w:rsidP="00533678">
      <w:pPr>
        <w:widowControl/>
        <w:jc w:val="both"/>
        <w:rPr>
          <w:i/>
          <w:sz w:val="22"/>
          <w:szCs w:val="22"/>
        </w:rPr>
      </w:pPr>
    </w:p>
    <w:p w14:paraId="0FC71B69" w14:textId="77777777" w:rsidR="00215A53" w:rsidRDefault="00C507E4" w:rsidP="00533678">
      <w:pPr>
        <w:widowControl/>
        <w:spacing w:line="238" w:lineRule="exact"/>
        <w:jc w:val="both"/>
        <w:rPr>
          <w:sz w:val="22"/>
          <w:szCs w:val="22"/>
        </w:rPr>
      </w:pPr>
      <w:r w:rsidRPr="00245296">
        <w:rPr>
          <w:b/>
          <w:i/>
          <w:sz w:val="22"/>
          <w:szCs w:val="22"/>
        </w:rPr>
        <w:lastRenderedPageBreak/>
        <w:t>Custodial Credit Risk</w:t>
      </w:r>
      <w:r>
        <w:rPr>
          <w:sz w:val="22"/>
          <w:szCs w:val="22"/>
        </w:rPr>
        <w:t xml:space="preserve">   </w:t>
      </w:r>
      <w:r w:rsidR="00215A53" w:rsidRPr="00215A53">
        <w:rPr>
          <w:sz w:val="22"/>
          <w:szCs w:val="22"/>
          <w:highlight w:val="yellow"/>
        </w:rPr>
        <w:t>(Delete if no such exposure)</w:t>
      </w:r>
      <w:r w:rsidR="00215A53">
        <w:rPr>
          <w:sz w:val="22"/>
          <w:szCs w:val="22"/>
        </w:rPr>
        <w:t xml:space="preserve"> </w:t>
      </w:r>
      <w:r w:rsidRPr="002F02C2">
        <w:rPr>
          <w:sz w:val="22"/>
          <w:szCs w:val="22"/>
        </w:rPr>
        <w:t xml:space="preserve">For an investment, custodial credit risk is the risk that, in the event of the failure of the counterparty, the </w:t>
      </w:r>
      <w:r w:rsidR="00A0255C">
        <w:rPr>
          <w:sz w:val="22"/>
          <w:szCs w:val="22"/>
        </w:rPr>
        <w:t>Library</w:t>
      </w:r>
      <w:r w:rsidRPr="002F02C2">
        <w:rPr>
          <w:sz w:val="22"/>
          <w:szCs w:val="22"/>
        </w:rPr>
        <w:t xml:space="preserve"> will not be able to recover the value of its investments or collateral securities that are in the possession of an outside party</w:t>
      </w:r>
      <w:r w:rsidRPr="00215A53">
        <w:rPr>
          <w:sz w:val="22"/>
          <w:szCs w:val="22"/>
          <w:highlight w:val="green"/>
        </w:rPr>
        <w:t xml:space="preserve">.  The </w:t>
      </w:r>
      <w:r w:rsidR="00215A53" w:rsidRPr="00215A53">
        <w:rPr>
          <w:sz w:val="22"/>
          <w:szCs w:val="22"/>
          <w:highlight w:val="green"/>
        </w:rPr>
        <w:t>repurchase agreement, the</w:t>
      </w:r>
      <w:r w:rsidR="0030481B">
        <w:rPr>
          <w:sz w:val="22"/>
          <w:szCs w:val="22"/>
          <w:highlight w:val="green"/>
        </w:rPr>
        <w:t xml:space="preserve"> </w:t>
      </w:r>
      <w:r w:rsidRPr="00215A53">
        <w:rPr>
          <w:sz w:val="22"/>
          <w:szCs w:val="22"/>
          <w:highlight w:val="green"/>
        </w:rPr>
        <w:t xml:space="preserve">Federal National Mortgage Association Notes, Federal Home Loan Mortgage Corporation Notes, and the Federal Home Loan Bank Notes are exposed to custodial credit risk as they are uninsured, unregistered, and held by the counterparty’s trust department or agent but not in the </w:t>
      </w:r>
      <w:r w:rsidR="00A0255C" w:rsidRPr="00215A53">
        <w:rPr>
          <w:sz w:val="22"/>
          <w:szCs w:val="22"/>
          <w:highlight w:val="green"/>
        </w:rPr>
        <w:t>Library</w:t>
      </w:r>
      <w:r w:rsidRPr="00215A53">
        <w:rPr>
          <w:sz w:val="22"/>
          <w:szCs w:val="22"/>
          <w:highlight w:val="green"/>
        </w:rPr>
        <w:t>’s name.</w:t>
      </w:r>
    </w:p>
    <w:p w14:paraId="647341EA" w14:textId="77777777" w:rsidR="00215A53" w:rsidRDefault="00215A53" w:rsidP="00533678">
      <w:pPr>
        <w:widowControl/>
        <w:spacing w:line="238" w:lineRule="exact"/>
        <w:jc w:val="both"/>
        <w:rPr>
          <w:sz w:val="22"/>
          <w:szCs w:val="22"/>
        </w:rPr>
      </w:pPr>
    </w:p>
    <w:p w14:paraId="34B4A5BF" w14:textId="77777777" w:rsidR="00C507E4" w:rsidRPr="002F02C2" w:rsidRDefault="00C507E4" w:rsidP="00533678">
      <w:pPr>
        <w:widowControl/>
        <w:spacing w:line="238" w:lineRule="exact"/>
        <w:jc w:val="both"/>
        <w:rPr>
          <w:i/>
          <w:sz w:val="22"/>
          <w:szCs w:val="22"/>
        </w:rPr>
      </w:pPr>
      <w:r w:rsidRPr="00215A53">
        <w:rPr>
          <w:sz w:val="22"/>
          <w:szCs w:val="22"/>
          <w:highlight w:val="green"/>
        </w:rPr>
        <w:t xml:space="preserve">The </w:t>
      </w:r>
      <w:r w:rsidR="00A0255C" w:rsidRPr="00215A53">
        <w:rPr>
          <w:sz w:val="22"/>
          <w:szCs w:val="22"/>
          <w:highlight w:val="green"/>
        </w:rPr>
        <w:t>Library</w:t>
      </w:r>
      <w:r w:rsidRPr="00215A53">
        <w:rPr>
          <w:sz w:val="22"/>
          <w:szCs w:val="22"/>
          <w:highlight w:val="green"/>
        </w:rPr>
        <w:t xml:space="preserve"> has no investment policy dealing with investment custodial risk beyond the requirements in ORC 135.14(M)(2) which states, “Payment for investments shall be made only upon the delivery of securities representing such investments to the treasurer</w:t>
      </w:r>
      <w:r w:rsidRPr="00DD5C38">
        <w:rPr>
          <w:sz w:val="22"/>
          <w:szCs w:val="22"/>
          <w:highlight w:val="green"/>
        </w:rPr>
        <w:t xml:space="preserve">, </w:t>
      </w:r>
      <w:r w:rsidR="0061340F" w:rsidRPr="002071D1">
        <w:rPr>
          <w:sz w:val="22"/>
          <w:szCs w:val="22"/>
          <w:highlight w:val="green"/>
        </w:rPr>
        <w:t>governing board</w:t>
      </w:r>
      <w:r w:rsidRPr="00215A53">
        <w:rPr>
          <w:sz w:val="22"/>
          <w:szCs w:val="22"/>
          <w:highlight w:val="green"/>
        </w:rPr>
        <w:t xml:space="preserve">, or qualified trustee.  If the securities transferred are not represented by a certificate, payment shall be made only upon receipt of confirmation of transfer from the custodian by the treasurer, governing board, or qualified trustee.”  </w:t>
      </w:r>
      <w:r w:rsidRPr="00BA56F7">
        <w:rPr>
          <w:sz w:val="22"/>
          <w:szCs w:val="22"/>
          <w:highlight w:val="yellow"/>
        </w:rPr>
        <w:t>(Modify as needed.)</w:t>
      </w:r>
    </w:p>
    <w:p w14:paraId="11474DE8" w14:textId="77777777" w:rsidR="00C507E4" w:rsidRDefault="00C507E4" w:rsidP="00533678">
      <w:pPr>
        <w:widowControl/>
        <w:spacing w:line="238" w:lineRule="exact"/>
        <w:jc w:val="both"/>
        <w:rPr>
          <w:b/>
          <w:bCs/>
          <w:sz w:val="22"/>
          <w:szCs w:val="22"/>
        </w:rPr>
      </w:pPr>
    </w:p>
    <w:p w14:paraId="778475A0" w14:textId="77777777" w:rsidR="00C507E4" w:rsidRPr="00215A53" w:rsidRDefault="00C507E4" w:rsidP="00533678">
      <w:pPr>
        <w:widowControl/>
        <w:spacing w:line="238" w:lineRule="exact"/>
        <w:jc w:val="both"/>
        <w:rPr>
          <w:sz w:val="22"/>
          <w:szCs w:val="22"/>
          <w:highlight w:val="green"/>
        </w:rPr>
      </w:pPr>
      <w:r w:rsidRPr="00F812ED">
        <w:rPr>
          <w:b/>
          <w:i/>
          <w:sz w:val="22"/>
          <w:szCs w:val="22"/>
        </w:rPr>
        <w:t>Concentration of Credit Risk</w:t>
      </w:r>
      <w:r>
        <w:rPr>
          <w:b/>
          <w:i/>
          <w:sz w:val="22"/>
          <w:szCs w:val="22"/>
        </w:rPr>
        <w:t xml:space="preserve">  </w:t>
      </w:r>
      <w:r>
        <w:rPr>
          <w:sz w:val="22"/>
          <w:szCs w:val="22"/>
        </w:rPr>
        <w:t xml:space="preserve"> </w:t>
      </w:r>
      <w:r w:rsidRPr="00215A53">
        <w:rPr>
          <w:sz w:val="22"/>
          <w:szCs w:val="22"/>
          <w:highlight w:val="green"/>
        </w:rPr>
        <w:t xml:space="preserve">The </w:t>
      </w:r>
      <w:r w:rsidR="00A0255C" w:rsidRPr="00215A53">
        <w:rPr>
          <w:sz w:val="22"/>
          <w:szCs w:val="22"/>
          <w:highlight w:val="green"/>
        </w:rPr>
        <w:t>Library</w:t>
      </w:r>
      <w:r w:rsidRPr="00215A53">
        <w:rPr>
          <w:sz w:val="22"/>
          <w:szCs w:val="22"/>
          <w:highlight w:val="green"/>
        </w:rPr>
        <w:t xml:space="preserve"> places no limit on the amount it may invest in any one issuer.  The following investments represent five percent or more of total in</w:t>
      </w:r>
      <w:r w:rsidR="0030481B">
        <w:rPr>
          <w:sz w:val="22"/>
          <w:szCs w:val="22"/>
          <w:highlight w:val="green"/>
        </w:rPr>
        <w:t>vestments as of December 31, 20CY</w:t>
      </w:r>
      <w:r w:rsidRPr="00215A53">
        <w:rPr>
          <w:sz w:val="22"/>
          <w:szCs w:val="22"/>
          <w:highlight w:val="green"/>
        </w:rPr>
        <w:t>:</w:t>
      </w:r>
    </w:p>
    <w:p w14:paraId="2FA16BBE" w14:textId="77777777" w:rsidR="00C507E4" w:rsidRPr="00215A53" w:rsidRDefault="00C507E4" w:rsidP="00533678">
      <w:pPr>
        <w:pStyle w:val="BodyText"/>
        <w:rPr>
          <w:sz w:val="16"/>
          <w:szCs w:val="16"/>
          <w:highlight w:val="green"/>
        </w:rPr>
      </w:pPr>
    </w:p>
    <w:bookmarkStart w:id="86" w:name="_MON_1350815823"/>
    <w:bookmarkStart w:id="87" w:name="_MON_1350815875"/>
    <w:bookmarkStart w:id="88" w:name="_MON_1350815924"/>
    <w:bookmarkStart w:id="89" w:name="_MON_1350816009"/>
    <w:bookmarkStart w:id="90" w:name="_MON_1369476375"/>
    <w:bookmarkStart w:id="91" w:name="_MON_1387625325"/>
    <w:bookmarkStart w:id="92" w:name="_MON_1218629527"/>
    <w:bookmarkStart w:id="93" w:name="_MON_1218629691"/>
    <w:bookmarkStart w:id="94" w:name="_MON_1219143250"/>
    <w:bookmarkStart w:id="95" w:name="_MON_1226302878"/>
    <w:bookmarkStart w:id="96" w:name="_MON_1229407476"/>
    <w:bookmarkStart w:id="97" w:name="_MON_1251700479"/>
    <w:bookmarkStart w:id="98" w:name="_MON_1251700561"/>
    <w:bookmarkStart w:id="99" w:name="_MON_1251701781"/>
    <w:bookmarkStart w:id="100" w:name="_MON_1266385057"/>
    <w:bookmarkStart w:id="101" w:name="_MON_1279456007"/>
    <w:bookmarkStart w:id="102" w:name="_MON_1279456170"/>
    <w:bookmarkStart w:id="103" w:name="_MON_1285489992"/>
    <w:bookmarkStart w:id="104" w:name="_MON_1288091048"/>
    <w:bookmarkStart w:id="105" w:name="_MON_1309328356"/>
    <w:bookmarkStart w:id="106" w:name="_MON_1339406027"/>
    <w:bookmarkStart w:id="107" w:name="_MON_1340777730"/>
    <w:bookmarkStart w:id="108" w:name="_MON_1343467566"/>
    <w:bookmarkStart w:id="109" w:name="_MON_1350734493"/>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Start w:id="110" w:name="_MON_1350737314"/>
    <w:bookmarkEnd w:id="110"/>
    <w:p w14:paraId="5EAF3229" w14:textId="578101B3" w:rsidR="00C507E4" w:rsidRDefault="00AD2932" w:rsidP="00533678">
      <w:pPr>
        <w:pStyle w:val="BodyText"/>
        <w:jc w:val="center"/>
        <w:rPr>
          <w:szCs w:val="22"/>
        </w:rPr>
      </w:pPr>
      <w:r w:rsidRPr="00215A53">
        <w:rPr>
          <w:szCs w:val="22"/>
          <w:highlight w:val="green"/>
        </w:rPr>
        <w:object w:dxaOrig="6796" w:dyaOrig="1413" w14:anchorId="2A80805C">
          <v:shape id="_x0000_i1029" type="#_x0000_t75" style="width:323.4pt;height:67.2pt" o:ole="">
            <v:imagedata r:id="rId21" o:title=""/>
          </v:shape>
          <o:OLEObject Type="Embed" ProgID="Excel.Sheet.8" ShapeID="_x0000_i1029" DrawAspect="Content" ObjectID="_1798480931" r:id="rId22"/>
        </w:object>
      </w:r>
    </w:p>
    <w:p w14:paraId="02243C72" w14:textId="77777777" w:rsidR="00C507E4" w:rsidRDefault="00C507E4" w:rsidP="00533678">
      <w:pPr>
        <w:widowControl/>
        <w:jc w:val="both"/>
        <w:rPr>
          <w:b/>
          <w:sz w:val="22"/>
          <w:szCs w:val="22"/>
          <w:u w:val="single"/>
        </w:rPr>
      </w:pPr>
    </w:p>
    <w:p w14:paraId="6F54FEAF" w14:textId="77777777" w:rsidR="00336F40" w:rsidRPr="00336F40" w:rsidRDefault="00336F40" w:rsidP="00336F40">
      <w:pPr>
        <w:widowControl/>
        <w:autoSpaceDE/>
        <w:autoSpaceDN/>
        <w:adjustRightInd/>
        <w:jc w:val="both"/>
        <w:rPr>
          <w:sz w:val="22"/>
          <w:szCs w:val="22"/>
        </w:rPr>
      </w:pPr>
      <w:r w:rsidRPr="00336F40">
        <w:rPr>
          <w:sz w:val="22"/>
          <w:szCs w:val="22"/>
          <w:highlight w:val="green"/>
        </w:rPr>
        <w:t>Customize above table as needed.</w:t>
      </w:r>
    </w:p>
    <w:p w14:paraId="432F83F5" w14:textId="1679D4C4" w:rsidR="00C507E4" w:rsidRDefault="00C507E4" w:rsidP="00533678">
      <w:pPr>
        <w:widowControl/>
        <w:jc w:val="both"/>
        <w:rPr>
          <w:sz w:val="22"/>
          <w:szCs w:val="22"/>
        </w:rPr>
      </w:pPr>
    </w:p>
    <w:p w14:paraId="5AE42750" w14:textId="77777777" w:rsidR="00336F40" w:rsidRDefault="00336F40" w:rsidP="00533678">
      <w:pPr>
        <w:widowControl/>
        <w:jc w:val="both"/>
        <w:rPr>
          <w:sz w:val="22"/>
          <w:szCs w:val="22"/>
        </w:rPr>
      </w:pPr>
    </w:p>
    <w:p w14:paraId="10E61DBC" w14:textId="77777777" w:rsidR="00257B7A" w:rsidRPr="005374C3" w:rsidRDefault="00257B7A" w:rsidP="00533678">
      <w:pPr>
        <w:widowControl/>
        <w:rPr>
          <w:b/>
          <w:sz w:val="24"/>
          <w:szCs w:val="24"/>
        </w:rPr>
      </w:pPr>
      <w:r w:rsidRPr="005374C3">
        <w:rPr>
          <w:b/>
          <w:bCs/>
          <w:sz w:val="24"/>
          <w:szCs w:val="24"/>
        </w:rPr>
        <w:t xml:space="preserve">Note </w:t>
      </w:r>
      <w:r w:rsidR="00215A53">
        <w:rPr>
          <w:b/>
          <w:bCs/>
          <w:sz w:val="24"/>
          <w:szCs w:val="24"/>
        </w:rPr>
        <w:t>6</w:t>
      </w:r>
      <w:r w:rsidRPr="005374C3">
        <w:rPr>
          <w:b/>
          <w:bCs/>
          <w:sz w:val="24"/>
          <w:szCs w:val="24"/>
        </w:rPr>
        <w:t xml:space="preserve"> </w:t>
      </w:r>
      <w:r w:rsidR="00384194">
        <w:rPr>
          <w:b/>
          <w:bCs/>
          <w:sz w:val="24"/>
          <w:szCs w:val="24"/>
        </w:rPr>
        <w:t>–</w:t>
      </w:r>
      <w:r w:rsidRPr="005374C3">
        <w:rPr>
          <w:b/>
          <w:bCs/>
          <w:sz w:val="24"/>
          <w:szCs w:val="24"/>
        </w:rPr>
        <w:t xml:space="preserve"> </w:t>
      </w:r>
      <w:r w:rsidR="00384194">
        <w:rPr>
          <w:b/>
          <w:bCs/>
          <w:sz w:val="24"/>
          <w:szCs w:val="24"/>
        </w:rPr>
        <w:t>Grants in Aid</w:t>
      </w:r>
      <w:r w:rsidR="00152E4B">
        <w:rPr>
          <w:b/>
          <w:bCs/>
          <w:sz w:val="24"/>
          <w:szCs w:val="24"/>
        </w:rPr>
        <w:t xml:space="preserve">, </w:t>
      </w:r>
      <w:r w:rsidRPr="005374C3">
        <w:rPr>
          <w:b/>
          <w:bCs/>
          <w:sz w:val="24"/>
          <w:szCs w:val="24"/>
        </w:rPr>
        <w:t>Property Taxes</w:t>
      </w:r>
      <w:r w:rsidR="00152E4B">
        <w:rPr>
          <w:b/>
          <w:bCs/>
          <w:sz w:val="24"/>
          <w:szCs w:val="24"/>
        </w:rPr>
        <w:t>, and Tax Abatements</w:t>
      </w:r>
    </w:p>
    <w:p w14:paraId="670F639A" w14:textId="77777777" w:rsidR="005023B9" w:rsidRDefault="005023B9" w:rsidP="00533678">
      <w:pPr>
        <w:widowControl/>
        <w:autoSpaceDE/>
        <w:autoSpaceDN/>
        <w:adjustRightInd/>
        <w:jc w:val="both"/>
        <w:rPr>
          <w:sz w:val="22"/>
          <w:szCs w:val="22"/>
        </w:rPr>
      </w:pPr>
    </w:p>
    <w:p w14:paraId="546CEE86" w14:textId="77777777" w:rsidR="00384194" w:rsidRPr="000C7BE7" w:rsidRDefault="00384194" w:rsidP="00533678">
      <w:pPr>
        <w:widowControl/>
        <w:jc w:val="both"/>
        <w:rPr>
          <w:i/>
          <w:sz w:val="22"/>
          <w:szCs w:val="22"/>
        </w:rPr>
      </w:pPr>
      <w:r w:rsidRPr="000C7BE7">
        <w:rPr>
          <w:b/>
          <w:i/>
          <w:sz w:val="22"/>
          <w:szCs w:val="22"/>
        </w:rPr>
        <w:t>Grants in Aid</w:t>
      </w:r>
    </w:p>
    <w:p w14:paraId="720773E0" w14:textId="77777777" w:rsidR="00384194" w:rsidRDefault="00384194" w:rsidP="00533678">
      <w:pPr>
        <w:widowControl/>
        <w:jc w:val="both"/>
        <w:rPr>
          <w:sz w:val="22"/>
          <w:szCs w:val="22"/>
        </w:rPr>
      </w:pPr>
    </w:p>
    <w:p w14:paraId="22F5597B" w14:textId="77777777" w:rsidR="00384194" w:rsidRDefault="00384194" w:rsidP="00533678">
      <w:pPr>
        <w:widowControl/>
        <w:autoSpaceDE/>
        <w:autoSpaceDN/>
        <w:adjustRightInd/>
        <w:jc w:val="both"/>
        <w:rPr>
          <w:sz w:val="22"/>
          <w:szCs w:val="22"/>
        </w:rPr>
      </w:pPr>
      <w:r w:rsidRPr="00B96D8B">
        <w:rPr>
          <w:sz w:val="22"/>
          <w:szCs w:val="22"/>
        </w:rPr>
        <w:t>The primary source of revenue for Ohio public libraries is the Public Library Fund (PLF).  The State allocates PLF to each county based on the total tax revenue credited to the State’s general revenue fund during the preceding month using the statutory allocation method. Estimated entitlement figures were issued to County Auditors.  The actual current year entitlements were computed in December of the current year.  The difference between the estimate and actual will be adjusted evenly in the PLF distributions made from January-June of the subsequent year. </w:t>
      </w:r>
    </w:p>
    <w:p w14:paraId="397675F6" w14:textId="77777777" w:rsidR="00384194" w:rsidRDefault="00384194" w:rsidP="00533678">
      <w:pPr>
        <w:widowControl/>
        <w:autoSpaceDE/>
        <w:autoSpaceDN/>
        <w:adjustRightInd/>
        <w:jc w:val="both"/>
        <w:rPr>
          <w:sz w:val="22"/>
          <w:szCs w:val="22"/>
        </w:rPr>
      </w:pPr>
    </w:p>
    <w:p w14:paraId="109833A4" w14:textId="77777777" w:rsidR="00384194" w:rsidRPr="00384194" w:rsidRDefault="00384194" w:rsidP="00533678">
      <w:pPr>
        <w:widowControl/>
        <w:autoSpaceDE/>
        <w:autoSpaceDN/>
        <w:adjustRightInd/>
        <w:jc w:val="both"/>
        <w:rPr>
          <w:b/>
          <w:i/>
          <w:sz w:val="22"/>
          <w:szCs w:val="22"/>
        </w:rPr>
      </w:pPr>
      <w:r w:rsidRPr="00384194">
        <w:rPr>
          <w:b/>
          <w:i/>
          <w:sz w:val="22"/>
          <w:szCs w:val="22"/>
        </w:rPr>
        <w:t>Property Taxes</w:t>
      </w:r>
    </w:p>
    <w:p w14:paraId="3A01C2D1" w14:textId="77777777" w:rsidR="00384194" w:rsidRPr="005374C3" w:rsidRDefault="00384194" w:rsidP="00533678">
      <w:pPr>
        <w:widowControl/>
        <w:autoSpaceDE/>
        <w:autoSpaceDN/>
        <w:adjustRightInd/>
        <w:jc w:val="both"/>
        <w:rPr>
          <w:sz w:val="22"/>
          <w:szCs w:val="22"/>
        </w:rPr>
      </w:pPr>
    </w:p>
    <w:p w14:paraId="709B9427" w14:textId="47287639" w:rsidR="00C507E4" w:rsidRPr="00215A53" w:rsidRDefault="00C507E4" w:rsidP="00533678">
      <w:pPr>
        <w:widowControl/>
        <w:jc w:val="both"/>
        <w:rPr>
          <w:sz w:val="22"/>
          <w:szCs w:val="22"/>
        </w:rPr>
      </w:pPr>
      <w:r w:rsidRPr="00215A53">
        <w:rPr>
          <w:sz w:val="22"/>
          <w:szCs w:val="22"/>
          <w:highlight w:val="yellow"/>
        </w:rPr>
        <w:t>This sample note uses dates and years appropriate for reporting the year ended December 31,</w:t>
      </w:r>
      <w:r w:rsidRPr="00734B0A">
        <w:rPr>
          <w:sz w:val="22"/>
          <w:szCs w:val="22"/>
          <w:highlight w:val="yellow"/>
        </w:rPr>
        <w:t xml:space="preserve"> 20</w:t>
      </w:r>
      <w:r w:rsidR="005D701D">
        <w:rPr>
          <w:sz w:val="22"/>
          <w:szCs w:val="22"/>
          <w:highlight w:val="cyan"/>
        </w:rPr>
        <w:t>2</w:t>
      </w:r>
      <w:r w:rsidR="00FB48C2">
        <w:rPr>
          <w:sz w:val="22"/>
          <w:szCs w:val="22"/>
          <w:highlight w:val="cyan"/>
        </w:rPr>
        <w:t>4</w:t>
      </w:r>
      <w:r w:rsidRPr="00215A53">
        <w:rPr>
          <w:sz w:val="22"/>
          <w:szCs w:val="22"/>
          <w:highlight w:val="yellow"/>
        </w:rPr>
        <w:t>.</w:t>
      </w:r>
      <w:r w:rsidRPr="00215A53">
        <w:rPr>
          <w:sz w:val="22"/>
          <w:szCs w:val="22"/>
        </w:rPr>
        <w:t xml:space="preserve">  </w:t>
      </w:r>
    </w:p>
    <w:p w14:paraId="1B8FA045" w14:textId="77777777" w:rsidR="00C507E4" w:rsidRDefault="00C507E4" w:rsidP="00533678">
      <w:pPr>
        <w:widowControl/>
        <w:jc w:val="both"/>
        <w:rPr>
          <w:i/>
          <w:sz w:val="22"/>
          <w:szCs w:val="22"/>
        </w:rPr>
      </w:pPr>
    </w:p>
    <w:p w14:paraId="70043388" w14:textId="070564EA" w:rsidR="00C507E4" w:rsidRDefault="00C507E4" w:rsidP="00533678">
      <w:pPr>
        <w:widowControl/>
        <w:tabs>
          <w:tab w:val="left" w:pos="480"/>
          <w:tab w:val="left" w:pos="1200"/>
          <w:tab w:val="left" w:pos="1680"/>
        </w:tabs>
        <w:jc w:val="both"/>
        <w:rPr>
          <w:sz w:val="22"/>
          <w:szCs w:val="22"/>
        </w:rPr>
      </w:pPr>
      <w:r w:rsidRPr="00C641DD">
        <w:rPr>
          <w:sz w:val="22"/>
          <w:szCs w:val="22"/>
        </w:rPr>
        <w:t>Property taxes include amounts levied against all real</w:t>
      </w:r>
      <w:r w:rsidR="00963367">
        <w:rPr>
          <w:sz w:val="22"/>
          <w:szCs w:val="22"/>
        </w:rPr>
        <w:t xml:space="preserve"> and</w:t>
      </w:r>
      <w:r w:rsidRPr="00C641DD">
        <w:rPr>
          <w:sz w:val="22"/>
          <w:szCs w:val="22"/>
        </w:rPr>
        <w:t xml:space="preserve"> public utility property located in </w:t>
      </w:r>
      <w:r w:rsidR="00963367">
        <w:rPr>
          <w:sz w:val="22"/>
          <w:szCs w:val="22"/>
        </w:rPr>
        <w:t>the Library</w:t>
      </w:r>
      <w:r w:rsidRPr="00C641DD">
        <w:rPr>
          <w:sz w:val="22"/>
          <w:szCs w:val="22"/>
        </w:rPr>
        <w:t xml:space="preserve">.  Property </w:t>
      </w:r>
      <w:r>
        <w:rPr>
          <w:sz w:val="22"/>
          <w:szCs w:val="22"/>
        </w:rPr>
        <w:t xml:space="preserve">tax revenue received during </w:t>
      </w:r>
      <w:r w:rsidRPr="00734B0A">
        <w:rPr>
          <w:sz w:val="22"/>
          <w:szCs w:val="22"/>
        </w:rPr>
        <w:t>20</w:t>
      </w:r>
      <w:r w:rsidR="005D701D" w:rsidRPr="000B11F4">
        <w:rPr>
          <w:sz w:val="22"/>
          <w:szCs w:val="22"/>
          <w:highlight w:val="cyan"/>
        </w:rPr>
        <w:t>2</w:t>
      </w:r>
      <w:r w:rsidR="00FB48C2" w:rsidRPr="00FB48C2">
        <w:rPr>
          <w:sz w:val="22"/>
          <w:szCs w:val="22"/>
          <w:highlight w:val="cyan"/>
        </w:rPr>
        <w:t>4</w:t>
      </w:r>
      <w:r w:rsidRPr="00C641DD">
        <w:rPr>
          <w:sz w:val="22"/>
          <w:szCs w:val="22"/>
        </w:rPr>
        <w:t xml:space="preserve"> for real and public </w:t>
      </w:r>
      <w:r>
        <w:rPr>
          <w:sz w:val="22"/>
          <w:szCs w:val="22"/>
        </w:rPr>
        <w:t xml:space="preserve">utility </w:t>
      </w:r>
      <w:r w:rsidRPr="00C641DD">
        <w:rPr>
          <w:sz w:val="22"/>
          <w:szCs w:val="22"/>
        </w:rPr>
        <w:t>property taxe</w:t>
      </w:r>
      <w:r>
        <w:rPr>
          <w:sz w:val="22"/>
          <w:szCs w:val="22"/>
        </w:rPr>
        <w:t xml:space="preserve">s represents collections of </w:t>
      </w:r>
      <w:r w:rsidRPr="00734B0A">
        <w:rPr>
          <w:sz w:val="22"/>
          <w:szCs w:val="22"/>
        </w:rPr>
        <w:t>20</w:t>
      </w:r>
      <w:r w:rsidR="00DF543B" w:rsidRPr="000B11F4">
        <w:rPr>
          <w:sz w:val="22"/>
          <w:szCs w:val="22"/>
          <w:highlight w:val="cyan"/>
        </w:rPr>
        <w:t>2</w:t>
      </w:r>
      <w:r w:rsidR="00FB48C2">
        <w:rPr>
          <w:sz w:val="22"/>
          <w:szCs w:val="22"/>
          <w:highlight w:val="cyan"/>
        </w:rPr>
        <w:t>3</w:t>
      </w:r>
      <w:r w:rsidRPr="00C641DD">
        <w:rPr>
          <w:sz w:val="22"/>
          <w:szCs w:val="22"/>
        </w:rPr>
        <w:t xml:space="preserve"> taxes.  </w:t>
      </w:r>
    </w:p>
    <w:p w14:paraId="6C39D8A5" w14:textId="77777777" w:rsidR="007337BD" w:rsidRPr="00C641DD" w:rsidRDefault="007337BD" w:rsidP="00533678">
      <w:pPr>
        <w:widowControl/>
        <w:tabs>
          <w:tab w:val="left" w:pos="480"/>
          <w:tab w:val="left" w:pos="1200"/>
          <w:tab w:val="left" w:pos="1680"/>
        </w:tabs>
        <w:jc w:val="both"/>
        <w:rPr>
          <w:sz w:val="16"/>
          <w:szCs w:val="16"/>
        </w:rPr>
      </w:pPr>
    </w:p>
    <w:p w14:paraId="0239360B" w14:textId="763E8DC2" w:rsidR="00C507E4" w:rsidRPr="00C641DD" w:rsidRDefault="00C507E4" w:rsidP="00533678">
      <w:pPr>
        <w:widowControl/>
        <w:tabs>
          <w:tab w:val="left" w:pos="480"/>
          <w:tab w:val="left" w:pos="1200"/>
          <w:tab w:val="left" w:pos="1680"/>
        </w:tabs>
        <w:jc w:val="both"/>
        <w:rPr>
          <w:sz w:val="22"/>
          <w:szCs w:val="22"/>
        </w:rPr>
      </w:pPr>
      <w:r w:rsidRPr="00734B0A">
        <w:rPr>
          <w:sz w:val="22"/>
          <w:szCs w:val="22"/>
        </w:rPr>
        <w:t>20</w:t>
      </w:r>
      <w:r w:rsidR="005D701D" w:rsidRPr="000B11F4">
        <w:rPr>
          <w:sz w:val="22"/>
          <w:szCs w:val="22"/>
          <w:highlight w:val="cyan"/>
        </w:rPr>
        <w:t>2</w:t>
      </w:r>
      <w:r w:rsidR="00FB48C2">
        <w:rPr>
          <w:sz w:val="22"/>
          <w:szCs w:val="22"/>
          <w:highlight w:val="cyan"/>
        </w:rPr>
        <w:t>4</w:t>
      </w:r>
      <w:r w:rsidRPr="00C641DD">
        <w:rPr>
          <w:sz w:val="22"/>
          <w:szCs w:val="22"/>
        </w:rPr>
        <w:t xml:space="preserve"> real property taxes </w:t>
      </w:r>
      <w:r>
        <w:rPr>
          <w:sz w:val="22"/>
          <w:szCs w:val="22"/>
        </w:rPr>
        <w:t xml:space="preserve">are levied after October 1, </w:t>
      </w:r>
      <w:r w:rsidRPr="00734B0A">
        <w:rPr>
          <w:sz w:val="22"/>
          <w:szCs w:val="22"/>
        </w:rPr>
        <w:t>20</w:t>
      </w:r>
      <w:r w:rsidR="005D701D" w:rsidRPr="000B11F4">
        <w:rPr>
          <w:sz w:val="22"/>
          <w:szCs w:val="22"/>
          <w:highlight w:val="cyan"/>
        </w:rPr>
        <w:t>2</w:t>
      </w:r>
      <w:r w:rsidR="00FB48C2">
        <w:rPr>
          <w:sz w:val="22"/>
          <w:szCs w:val="22"/>
          <w:highlight w:val="cyan"/>
        </w:rPr>
        <w:t>4</w:t>
      </w:r>
      <w:r w:rsidR="002A5B3A">
        <w:rPr>
          <w:sz w:val="22"/>
          <w:szCs w:val="22"/>
        </w:rPr>
        <w:t>,</w:t>
      </w:r>
      <w:r w:rsidRPr="00C641DD">
        <w:rPr>
          <w:sz w:val="22"/>
          <w:szCs w:val="22"/>
        </w:rPr>
        <w:t xml:space="preserve"> on the asse</w:t>
      </w:r>
      <w:r>
        <w:rPr>
          <w:sz w:val="22"/>
          <w:szCs w:val="22"/>
        </w:rPr>
        <w:t xml:space="preserve">ssed value as of January 1, </w:t>
      </w:r>
      <w:r w:rsidRPr="00734B0A">
        <w:rPr>
          <w:sz w:val="22"/>
          <w:szCs w:val="22"/>
        </w:rPr>
        <w:t>20</w:t>
      </w:r>
      <w:r w:rsidR="005D701D">
        <w:rPr>
          <w:sz w:val="22"/>
          <w:szCs w:val="22"/>
          <w:highlight w:val="cyan"/>
        </w:rPr>
        <w:t>2</w:t>
      </w:r>
      <w:r w:rsidR="0080279D">
        <w:rPr>
          <w:sz w:val="22"/>
          <w:szCs w:val="22"/>
          <w:highlight w:val="cyan"/>
        </w:rPr>
        <w:t>4</w:t>
      </w:r>
      <w:r>
        <w:rPr>
          <w:sz w:val="22"/>
          <w:szCs w:val="22"/>
        </w:rPr>
        <w:t>,</w:t>
      </w:r>
      <w:r w:rsidRPr="00C641DD">
        <w:rPr>
          <w:sz w:val="22"/>
          <w:szCs w:val="22"/>
        </w:rPr>
        <w:t xml:space="preserve"> the lien date.  Assessed values are established by State law at 35 percent </w:t>
      </w:r>
      <w:r>
        <w:rPr>
          <w:sz w:val="22"/>
          <w:szCs w:val="22"/>
        </w:rPr>
        <w:t xml:space="preserve">of appraised market value.  </w:t>
      </w:r>
      <w:r w:rsidRPr="00734B0A">
        <w:rPr>
          <w:sz w:val="22"/>
          <w:szCs w:val="22"/>
        </w:rPr>
        <w:t>20</w:t>
      </w:r>
      <w:r w:rsidR="005D701D">
        <w:rPr>
          <w:sz w:val="22"/>
          <w:szCs w:val="22"/>
          <w:highlight w:val="cyan"/>
        </w:rPr>
        <w:t>2</w:t>
      </w:r>
      <w:r w:rsidR="0080279D">
        <w:rPr>
          <w:sz w:val="22"/>
          <w:szCs w:val="22"/>
          <w:highlight w:val="cyan"/>
        </w:rPr>
        <w:t>4</w:t>
      </w:r>
      <w:r w:rsidRPr="00C641DD">
        <w:rPr>
          <w:sz w:val="22"/>
          <w:szCs w:val="22"/>
        </w:rPr>
        <w:t xml:space="preserve"> real property taxes are collected</w:t>
      </w:r>
      <w:r w:rsidR="0030481B">
        <w:rPr>
          <w:sz w:val="22"/>
          <w:szCs w:val="22"/>
        </w:rPr>
        <w:t xml:space="preserve"> in and intended to finance </w:t>
      </w:r>
      <w:r w:rsidR="0030481B" w:rsidRPr="00734B0A">
        <w:rPr>
          <w:sz w:val="22"/>
          <w:szCs w:val="22"/>
        </w:rPr>
        <w:t>20</w:t>
      </w:r>
      <w:r w:rsidR="0030481B" w:rsidRPr="000B11F4">
        <w:rPr>
          <w:sz w:val="22"/>
          <w:szCs w:val="22"/>
          <w:highlight w:val="cyan"/>
        </w:rPr>
        <w:t>2</w:t>
      </w:r>
      <w:r w:rsidR="0080279D">
        <w:rPr>
          <w:sz w:val="22"/>
          <w:szCs w:val="22"/>
          <w:highlight w:val="cyan"/>
        </w:rPr>
        <w:t>5</w:t>
      </w:r>
      <w:r w:rsidRPr="00C641DD">
        <w:rPr>
          <w:sz w:val="22"/>
          <w:szCs w:val="22"/>
        </w:rPr>
        <w:t>.</w:t>
      </w:r>
    </w:p>
    <w:p w14:paraId="67DB0076" w14:textId="77777777" w:rsidR="00C507E4" w:rsidRPr="00C641DD" w:rsidRDefault="00C507E4" w:rsidP="00533678">
      <w:pPr>
        <w:widowControl/>
        <w:tabs>
          <w:tab w:val="left" w:pos="480"/>
          <w:tab w:val="left" w:pos="1200"/>
          <w:tab w:val="left" w:pos="1680"/>
        </w:tabs>
        <w:jc w:val="both"/>
        <w:rPr>
          <w:sz w:val="16"/>
          <w:szCs w:val="16"/>
        </w:rPr>
      </w:pPr>
    </w:p>
    <w:p w14:paraId="57AD9F1C" w14:textId="77777777" w:rsidR="00C507E4" w:rsidRPr="00C641DD" w:rsidRDefault="00C507E4" w:rsidP="00533678">
      <w:pPr>
        <w:widowControl/>
        <w:tabs>
          <w:tab w:val="left" w:pos="480"/>
          <w:tab w:val="left" w:pos="1200"/>
          <w:tab w:val="left" w:pos="1680"/>
        </w:tabs>
        <w:jc w:val="both"/>
        <w:rPr>
          <w:sz w:val="22"/>
          <w:szCs w:val="22"/>
        </w:rPr>
      </w:pPr>
      <w:r w:rsidRPr="00C641DD">
        <w:rPr>
          <w:sz w:val="22"/>
          <w:szCs w:val="22"/>
        </w:rPr>
        <w:lastRenderedPageBreak/>
        <w:t>Real property taxes are payable annually or semi-annually.  If paid annually, payment is due December 31; if paid semi-annually, the first payment is due December 31, with the remainder payable by June 20.  Under certain circumstances, State statute permits later payment dates to be established.</w:t>
      </w:r>
    </w:p>
    <w:p w14:paraId="3ABDE9C3" w14:textId="77777777" w:rsidR="00C507E4" w:rsidRPr="00C641DD" w:rsidRDefault="00C507E4" w:rsidP="00533678">
      <w:pPr>
        <w:widowControl/>
        <w:tabs>
          <w:tab w:val="left" w:pos="480"/>
          <w:tab w:val="left" w:pos="1200"/>
          <w:tab w:val="left" w:pos="1680"/>
        </w:tabs>
        <w:jc w:val="both"/>
        <w:rPr>
          <w:sz w:val="16"/>
          <w:szCs w:val="16"/>
        </w:rPr>
      </w:pPr>
    </w:p>
    <w:p w14:paraId="22BDA998" w14:textId="7175DD72" w:rsidR="00C507E4" w:rsidRPr="00C641DD" w:rsidRDefault="00C507E4" w:rsidP="00533678">
      <w:pPr>
        <w:widowControl/>
        <w:tabs>
          <w:tab w:val="left" w:pos="480"/>
          <w:tab w:val="left" w:pos="1200"/>
          <w:tab w:val="left" w:pos="1680"/>
        </w:tabs>
        <w:jc w:val="both"/>
        <w:rPr>
          <w:sz w:val="22"/>
          <w:szCs w:val="22"/>
        </w:rPr>
      </w:pPr>
      <w:r w:rsidRPr="00C641DD">
        <w:rPr>
          <w:sz w:val="22"/>
          <w:szCs w:val="22"/>
        </w:rPr>
        <w:t>Public utility tangible personal property currently is assessed at varying percentages of true value; public utility real property is assessed at</w:t>
      </w:r>
      <w:r>
        <w:rPr>
          <w:sz w:val="22"/>
          <w:szCs w:val="22"/>
        </w:rPr>
        <w:t xml:space="preserve"> 35 percent of true value.  </w:t>
      </w:r>
      <w:r w:rsidRPr="00734B0A">
        <w:rPr>
          <w:sz w:val="22"/>
          <w:szCs w:val="22"/>
        </w:rPr>
        <w:t>20</w:t>
      </w:r>
      <w:r w:rsidR="005D701D" w:rsidRPr="000B11F4">
        <w:rPr>
          <w:sz w:val="22"/>
          <w:szCs w:val="22"/>
          <w:highlight w:val="cyan"/>
        </w:rPr>
        <w:t>2</w:t>
      </w:r>
      <w:r w:rsidR="0080279D">
        <w:rPr>
          <w:sz w:val="22"/>
          <w:szCs w:val="22"/>
          <w:highlight w:val="cyan"/>
        </w:rPr>
        <w:t>4</w:t>
      </w:r>
      <w:r w:rsidR="00BA56F7">
        <w:rPr>
          <w:sz w:val="22"/>
          <w:szCs w:val="22"/>
        </w:rPr>
        <w:t xml:space="preserve"> </w:t>
      </w:r>
      <w:r w:rsidRPr="00C641DD">
        <w:rPr>
          <w:sz w:val="22"/>
          <w:szCs w:val="22"/>
        </w:rPr>
        <w:t>public utility property taxes which</w:t>
      </w:r>
      <w:r>
        <w:rPr>
          <w:sz w:val="22"/>
          <w:szCs w:val="22"/>
        </w:rPr>
        <w:t xml:space="preserve"> became a lien December 31, </w:t>
      </w:r>
      <w:r w:rsidRPr="00734B0A">
        <w:rPr>
          <w:sz w:val="22"/>
          <w:szCs w:val="22"/>
        </w:rPr>
        <w:t>20</w:t>
      </w:r>
      <w:r w:rsidR="004D47CD" w:rsidRPr="000B11F4">
        <w:rPr>
          <w:sz w:val="22"/>
          <w:szCs w:val="22"/>
          <w:highlight w:val="cyan"/>
        </w:rPr>
        <w:t>2</w:t>
      </w:r>
      <w:r w:rsidR="0080279D">
        <w:rPr>
          <w:sz w:val="22"/>
          <w:szCs w:val="22"/>
          <w:highlight w:val="cyan"/>
        </w:rPr>
        <w:t>3</w:t>
      </w:r>
      <w:r w:rsidRPr="00533678">
        <w:rPr>
          <w:sz w:val="22"/>
          <w:szCs w:val="22"/>
        </w:rPr>
        <w:t>,</w:t>
      </w:r>
      <w:r w:rsidRPr="00C641DD">
        <w:rPr>
          <w:sz w:val="22"/>
          <w:szCs w:val="22"/>
        </w:rPr>
        <w:t xml:space="preserve"> </w:t>
      </w:r>
      <w:r>
        <w:rPr>
          <w:sz w:val="22"/>
          <w:szCs w:val="22"/>
        </w:rPr>
        <w:t xml:space="preserve">are levied after October 1, </w:t>
      </w:r>
      <w:r w:rsidRPr="00734B0A">
        <w:rPr>
          <w:sz w:val="22"/>
          <w:szCs w:val="22"/>
        </w:rPr>
        <w:t>20</w:t>
      </w:r>
      <w:r w:rsidR="005D701D" w:rsidRPr="000B11F4">
        <w:rPr>
          <w:sz w:val="22"/>
          <w:szCs w:val="22"/>
          <w:highlight w:val="cyan"/>
        </w:rPr>
        <w:t>2</w:t>
      </w:r>
      <w:r w:rsidR="0080279D">
        <w:rPr>
          <w:sz w:val="22"/>
          <w:szCs w:val="22"/>
          <w:highlight w:val="cyan"/>
        </w:rPr>
        <w:t>4</w:t>
      </w:r>
      <w:r w:rsidR="0030481B">
        <w:rPr>
          <w:sz w:val="22"/>
          <w:szCs w:val="22"/>
        </w:rPr>
        <w:t xml:space="preserve">, and are collected in </w:t>
      </w:r>
      <w:r w:rsidR="0030481B" w:rsidRPr="00734B0A">
        <w:rPr>
          <w:sz w:val="22"/>
          <w:szCs w:val="22"/>
        </w:rPr>
        <w:t>20</w:t>
      </w:r>
      <w:r w:rsidR="0030481B" w:rsidRPr="000B11F4">
        <w:rPr>
          <w:sz w:val="22"/>
          <w:szCs w:val="22"/>
          <w:highlight w:val="cyan"/>
        </w:rPr>
        <w:t>2</w:t>
      </w:r>
      <w:r w:rsidR="0080279D">
        <w:rPr>
          <w:sz w:val="22"/>
          <w:szCs w:val="22"/>
          <w:highlight w:val="cyan"/>
        </w:rPr>
        <w:t>5</w:t>
      </w:r>
      <w:r w:rsidRPr="00C641DD">
        <w:rPr>
          <w:sz w:val="22"/>
          <w:szCs w:val="22"/>
        </w:rPr>
        <w:t xml:space="preserve"> with real property taxes.</w:t>
      </w:r>
    </w:p>
    <w:p w14:paraId="611FF832" w14:textId="77777777" w:rsidR="00C507E4" w:rsidRPr="00C641DD" w:rsidRDefault="00C507E4" w:rsidP="00533678">
      <w:pPr>
        <w:widowControl/>
        <w:tabs>
          <w:tab w:val="left" w:pos="480"/>
          <w:tab w:val="left" w:pos="1200"/>
          <w:tab w:val="left" w:pos="1680"/>
        </w:tabs>
        <w:jc w:val="both"/>
        <w:rPr>
          <w:sz w:val="16"/>
          <w:szCs w:val="16"/>
        </w:rPr>
      </w:pPr>
    </w:p>
    <w:p w14:paraId="2281770C" w14:textId="6AECAD7F" w:rsidR="00C507E4" w:rsidRDefault="00C507E4" w:rsidP="00533678">
      <w:pPr>
        <w:widowControl/>
        <w:jc w:val="both"/>
        <w:rPr>
          <w:sz w:val="22"/>
          <w:szCs w:val="22"/>
          <w:highlight w:val="green"/>
        </w:rPr>
      </w:pPr>
      <w:r w:rsidRPr="00215A53">
        <w:rPr>
          <w:sz w:val="22"/>
          <w:szCs w:val="22"/>
          <w:highlight w:val="green"/>
        </w:rPr>
        <w:t xml:space="preserve">The full tax rate for all </w:t>
      </w:r>
      <w:r w:rsidR="00963367" w:rsidRPr="00215A53">
        <w:rPr>
          <w:sz w:val="22"/>
          <w:szCs w:val="22"/>
          <w:highlight w:val="green"/>
        </w:rPr>
        <w:t>Library</w:t>
      </w:r>
      <w:r w:rsidRPr="00215A53">
        <w:rPr>
          <w:sz w:val="22"/>
          <w:szCs w:val="22"/>
          <w:highlight w:val="green"/>
        </w:rPr>
        <w:t xml:space="preserve"> operations for the year ended December 31, </w:t>
      </w:r>
      <w:r w:rsidRPr="00734B0A">
        <w:rPr>
          <w:sz w:val="22"/>
          <w:szCs w:val="22"/>
          <w:highlight w:val="green"/>
        </w:rPr>
        <w:t>20</w:t>
      </w:r>
      <w:r w:rsidR="005D701D">
        <w:rPr>
          <w:sz w:val="22"/>
          <w:szCs w:val="22"/>
          <w:highlight w:val="cyan"/>
        </w:rPr>
        <w:t>2</w:t>
      </w:r>
      <w:r w:rsidR="0080279D">
        <w:rPr>
          <w:sz w:val="22"/>
          <w:szCs w:val="22"/>
          <w:highlight w:val="cyan"/>
        </w:rPr>
        <w:t>4</w:t>
      </w:r>
      <w:r w:rsidR="002A5B3A" w:rsidRPr="00215A53">
        <w:rPr>
          <w:sz w:val="22"/>
          <w:szCs w:val="22"/>
          <w:highlight w:val="green"/>
        </w:rPr>
        <w:t>,</w:t>
      </w:r>
      <w:r w:rsidRPr="00215A53">
        <w:rPr>
          <w:sz w:val="22"/>
          <w:szCs w:val="22"/>
          <w:highlight w:val="green"/>
        </w:rPr>
        <w:t xml:space="preserve"> was $</w:t>
      </w:r>
      <w:r w:rsidR="00FF39E7" w:rsidRPr="00215A53">
        <w:rPr>
          <w:sz w:val="22"/>
          <w:szCs w:val="22"/>
          <w:highlight w:val="green"/>
        </w:rPr>
        <w:t>X</w:t>
      </w:r>
      <w:r w:rsidRPr="00215A53">
        <w:rPr>
          <w:sz w:val="22"/>
          <w:szCs w:val="22"/>
          <w:highlight w:val="green"/>
        </w:rPr>
        <w:t>.</w:t>
      </w:r>
      <w:r w:rsidR="00FF39E7" w:rsidRPr="00215A53">
        <w:rPr>
          <w:sz w:val="22"/>
          <w:szCs w:val="22"/>
          <w:highlight w:val="green"/>
        </w:rPr>
        <w:t>XX</w:t>
      </w:r>
      <w:r w:rsidRPr="00215A53">
        <w:rPr>
          <w:sz w:val="22"/>
          <w:szCs w:val="22"/>
          <w:highlight w:val="green"/>
        </w:rPr>
        <w:t xml:space="preserve"> per $1,000 of assessed value.  The assessed values of real property</w:t>
      </w:r>
      <w:r w:rsidR="007337BD" w:rsidRPr="00215A53">
        <w:rPr>
          <w:sz w:val="22"/>
          <w:szCs w:val="22"/>
          <w:highlight w:val="green"/>
        </w:rPr>
        <w:t xml:space="preserve"> and</w:t>
      </w:r>
      <w:r w:rsidRPr="00215A53">
        <w:rPr>
          <w:sz w:val="22"/>
          <w:szCs w:val="22"/>
          <w:highlight w:val="green"/>
        </w:rPr>
        <w:t xml:space="preserve"> public utility tangible property upon which </w:t>
      </w:r>
      <w:r w:rsidRPr="00734B0A">
        <w:rPr>
          <w:sz w:val="22"/>
          <w:szCs w:val="22"/>
          <w:highlight w:val="green"/>
        </w:rPr>
        <w:t>20</w:t>
      </w:r>
      <w:r w:rsidR="005D701D">
        <w:rPr>
          <w:sz w:val="22"/>
          <w:szCs w:val="22"/>
          <w:highlight w:val="cyan"/>
        </w:rPr>
        <w:t>2</w:t>
      </w:r>
      <w:r w:rsidR="0080279D">
        <w:rPr>
          <w:sz w:val="22"/>
          <w:szCs w:val="22"/>
          <w:highlight w:val="cyan"/>
        </w:rPr>
        <w:t>4</w:t>
      </w:r>
      <w:r w:rsidRPr="00215A53">
        <w:rPr>
          <w:sz w:val="22"/>
          <w:szCs w:val="22"/>
          <w:highlight w:val="green"/>
        </w:rPr>
        <w:t xml:space="preserve"> property tax receipts were based are as follows:</w:t>
      </w:r>
    </w:p>
    <w:p w14:paraId="3189F160" w14:textId="77777777" w:rsidR="00E673F1" w:rsidRPr="00215A53" w:rsidRDefault="00E673F1" w:rsidP="00533678">
      <w:pPr>
        <w:widowControl/>
        <w:jc w:val="both"/>
        <w:rPr>
          <w:sz w:val="22"/>
          <w:szCs w:val="22"/>
          <w:highlight w:val="green"/>
        </w:rPr>
      </w:pPr>
    </w:p>
    <w:bookmarkStart w:id="111" w:name="_MON_1381233445"/>
    <w:bookmarkStart w:id="112" w:name="_MON_1387625341"/>
    <w:bookmarkStart w:id="113" w:name="_MON_1304252262"/>
    <w:bookmarkStart w:id="114" w:name="_MON_1304252292"/>
    <w:bookmarkStart w:id="115" w:name="_MON_1304252324"/>
    <w:bookmarkStart w:id="116" w:name="_MON_1304252609"/>
    <w:bookmarkStart w:id="117" w:name="_MON_1304843227"/>
    <w:bookmarkStart w:id="118" w:name="_MON_1304843303"/>
    <w:bookmarkStart w:id="119" w:name="_MON_1332063180"/>
    <w:bookmarkStart w:id="120" w:name="_MON_1347784949"/>
    <w:bookmarkStart w:id="121" w:name="_MON_1347785121"/>
    <w:bookmarkStart w:id="122" w:name="_MON_1347785556"/>
    <w:bookmarkStart w:id="123" w:name="_MON_1347785968"/>
    <w:bookmarkStart w:id="124" w:name="_MON_1347786212"/>
    <w:bookmarkStart w:id="125" w:name="_MON_1347786224"/>
    <w:bookmarkStart w:id="126" w:name="_MON_1347786306"/>
    <w:bookmarkStart w:id="127" w:name="_MON_1351339083"/>
    <w:bookmarkStart w:id="128" w:name="_MON_1364280397"/>
    <w:bookmarkStart w:id="129" w:name="_MON_1369476420"/>
    <w:bookmarkStart w:id="130" w:name="_MON_1381233385"/>
    <w:bookmarkStart w:id="131" w:name="OLE_LINK25"/>
    <w:bookmarkStart w:id="132" w:name="OLE_LINK26"/>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Start w:id="133" w:name="_MON_1381233431"/>
    <w:bookmarkEnd w:id="133"/>
    <w:p w14:paraId="5BC0DBE1" w14:textId="5C14F8C9" w:rsidR="00C507E4" w:rsidRPr="00617537" w:rsidRDefault="00AD2932" w:rsidP="00533678">
      <w:pPr>
        <w:widowControl/>
        <w:jc w:val="center"/>
        <w:rPr>
          <w:b/>
          <w:sz w:val="22"/>
          <w:szCs w:val="22"/>
          <w:u w:val="single"/>
        </w:rPr>
      </w:pPr>
      <w:r w:rsidRPr="00215A53">
        <w:rPr>
          <w:sz w:val="22"/>
          <w:szCs w:val="22"/>
          <w:highlight w:val="green"/>
        </w:rPr>
        <w:object w:dxaOrig="4853" w:dyaOrig="1051" w14:anchorId="1EC924C3">
          <v:shape id="_x0000_i1030" type="#_x0000_t75" style="width:227.4pt;height:53.4pt" o:ole="">
            <v:imagedata r:id="rId23" o:title=""/>
            <o:lock v:ext="edit" aspectratio="f"/>
          </v:shape>
          <o:OLEObject Type="Embed" ProgID="Excel.Sheet.12" ShapeID="_x0000_i1030" DrawAspect="Content" ObjectID="_1798480932" r:id="rId24"/>
        </w:object>
      </w:r>
      <w:bookmarkEnd w:id="131"/>
      <w:bookmarkEnd w:id="132"/>
    </w:p>
    <w:p w14:paraId="10C01C62" w14:textId="77777777" w:rsidR="00C507E4" w:rsidRDefault="00C507E4" w:rsidP="00533678">
      <w:pPr>
        <w:widowControl/>
        <w:jc w:val="both"/>
        <w:rPr>
          <w:sz w:val="22"/>
          <w:szCs w:val="22"/>
        </w:rPr>
      </w:pPr>
    </w:p>
    <w:p w14:paraId="350DA6AE" w14:textId="77777777" w:rsidR="00C507E4" w:rsidRPr="00617537" w:rsidRDefault="00C507E4" w:rsidP="00533678">
      <w:pPr>
        <w:widowControl/>
        <w:jc w:val="both"/>
        <w:rPr>
          <w:sz w:val="22"/>
          <w:szCs w:val="22"/>
        </w:rPr>
      </w:pPr>
      <w:r w:rsidRPr="00617537">
        <w:rPr>
          <w:sz w:val="22"/>
          <w:szCs w:val="22"/>
        </w:rPr>
        <w:t xml:space="preserve">The County Treasurer collects property taxes on behalf of all taxing districts in the county, including the </w:t>
      </w:r>
      <w:r w:rsidR="00A0255C">
        <w:rPr>
          <w:sz w:val="22"/>
          <w:szCs w:val="22"/>
        </w:rPr>
        <w:t>Library</w:t>
      </w:r>
      <w:r w:rsidRPr="00617537">
        <w:rPr>
          <w:sz w:val="22"/>
          <w:szCs w:val="22"/>
        </w:rPr>
        <w:t xml:space="preserve">.  The County Auditor periodically remits to the </w:t>
      </w:r>
      <w:r w:rsidR="00A0255C">
        <w:rPr>
          <w:sz w:val="22"/>
          <w:szCs w:val="22"/>
        </w:rPr>
        <w:t>Library</w:t>
      </w:r>
      <w:r w:rsidRPr="00617537">
        <w:rPr>
          <w:sz w:val="22"/>
          <w:szCs w:val="22"/>
        </w:rPr>
        <w:t xml:space="preserve"> its portion of the taxes collected.</w:t>
      </w:r>
    </w:p>
    <w:p w14:paraId="67C03B33" w14:textId="77777777" w:rsidR="00BB0F02" w:rsidRDefault="00BB0F02" w:rsidP="00533678">
      <w:pPr>
        <w:widowControl/>
        <w:jc w:val="both"/>
        <w:rPr>
          <w:b/>
          <w:sz w:val="24"/>
          <w:szCs w:val="24"/>
        </w:rPr>
      </w:pPr>
    </w:p>
    <w:p w14:paraId="54ABF323" w14:textId="77777777" w:rsidR="00D86946" w:rsidRPr="00631A05" w:rsidRDefault="00D86946" w:rsidP="00533678">
      <w:pPr>
        <w:widowControl/>
        <w:jc w:val="both"/>
        <w:rPr>
          <w:b/>
          <w:i/>
          <w:sz w:val="22"/>
          <w:szCs w:val="22"/>
        </w:rPr>
      </w:pPr>
      <w:r w:rsidRPr="00631A05">
        <w:rPr>
          <w:b/>
          <w:i/>
          <w:sz w:val="22"/>
          <w:szCs w:val="22"/>
        </w:rPr>
        <w:t>Tax Abatements</w:t>
      </w:r>
    </w:p>
    <w:p w14:paraId="639B56DC" w14:textId="77777777" w:rsidR="00D86946" w:rsidRDefault="00D86946" w:rsidP="00533678">
      <w:pPr>
        <w:widowControl/>
        <w:rPr>
          <w:sz w:val="22"/>
          <w:szCs w:val="22"/>
        </w:rPr>
      </w:pPr>
    </w:p>
    <w:p w14:paraId="59602B42" w14:textId="77777777" w:rsidR="001E37E8" w:rsidRPr="00631A05" w:rsidRDefault="001E37E8" w:rsidP="00533678">
      <w:pPr>
        <w:widowControl/>
        <w:jc w:val="both"/>
        <w:rPr>
          <w:sz w:val="22"/>
          <w:szCs w:val="22"/>
        </w:rPr>
      </w:pPr>
      <w:r w:rsidRPr="00BB7FE2">
        <w:rPr>
          <w:i/>
          <w:sz w:val="22"/>
          <w:szCs w:val="22"/>
          <w:highlight w:val="yellow"/>
        </w:rPr>
        <w:t>Auditor of State Bulletin 2017-001 provides additional guidance.</w:t>
      </w:r>
    </w:p>
    <w:p w14:paraId="59686E0C" w14:textId="77777777" w:rsidR="001E37E8" w:rsidRPr="00631A05" w:rsidRDefault="001E37E8" w:rsidP="00533678">
      <w:pPr>
        <w:widowControl/>
        <w:rPr>
          <w:sz w:val="22"/>
          <w:szCs w:val="22"/>
        </w:rPr>
      </w:pPr>
    </w:p>
    <w:p w14:paraId="1652B1DB" w14:textId="77777777" w:rsidR="001E37E8" w:rsidRDefault="00D86946" w:rsidP="00533678">
      <w:pPr>
        <w:widowControl/>
        <w:jc w:val="both"/>
        <w:rPr>
          <w:sz w:val="22"/>
          <w:szCs w:val="22"/>
        </w:rPr>
      </w:pPr>
      <w:r w:rsidRPr="00631A05">
        <w:rPr>
          <w:sz w:val="22"/>
          <w:szCs w:val="22"/>
          <w:highlight w:val="yellow"/>
        </w:rPr>
        <w:t>(Delete if no tax abatements to disclose.)</w:t>
      </w:r>
    </w:p>
    <w:p w14:paraId="7D7DDCD2" w14:textId="77777777" w:rsidR="00D86946" w:rsidRPr="00631A05" w:rsidRDefault="00D86946" w:rsidP="00533678">
      <w:pPr>
        <w:widowControl/>
        <w:rPr>
          <w:sz w:val="22"/>
          <w:szCs w:val="22"/>
        </w:rPr>
      </w:pPr>
    </w:p>
    <w:p w14:paraId="608D6251" w14:textId="77777777" w:rsidR="00D86946" w:rsidRPr="00631A05" w:rsidRDefault="00D86946" w:rsidP="00533678">
      <w:pPr>
        <w:widowControl/>
        <w:rPr>
          <w:sz w:val="22"/>
          <w:szCs w:val="22"/>
        </w:rPr>
      </w:pPr>
      <w:r w:rsidRPr="00631A05">
        <w:rPr>
          <w:sz w:val="22"/>
          <w:szCs w:val="22"/>
          <w:highlight w:val="yellow"/>
        </w:rPr>
        <w:t>Incorporate appropriate GASB 77 disclosures.</w:t>
      </w:r>
    </w:p>
    <w:p w14:paraId="2B01AB59" w14:textId="77777777" w:rsidR="00D86946" w:rsidRPr="00631A05" w:rsidRDefault="00D86946" w:rsidP="00533678">
      <w:pPr>
        <w:widowControl/>
        <w:rPr>
          <w:sz w:val="22"/>
          <w:szCs w:val="22"/>
        </w:rPr>
      </w:pPr>
    </w:p>
    <w:p w14:paraId="7A173AB6" w14:textId="77777777" w:rsidR="00D86946" w:rsidRPr="00631A05" w:rsidRDefault="00D86946" w:rsidP="00533678">
      <w:pPr>
        <w:widowControl/>
        <w:jc w:val="both"/>
        <w:rPr>
          <w:sz w:val="22"/>
          <w:szCs w:val="22"/>
        </w:rPr>
      </w:pPr>
      <w:r w:rsidRPr="00631A05">
        <w:rPr>
          <w:sz w:val="22"/>
          <w:szCs w:val="22"/>
          <w:highlight w:val="yellow"/>
        </w:rPr>
        <w:t>For purposes of GASB Statement No</w:t>
      </w:r>
      <w:r w:rsidR="0050650A">
        <w:rPr>
          <w:sz w:val="22"/>
          <w:szCs w:val="22"/>
          <w:highlight w:val="yellow"/>
        </w:rPr>
        <w:t>.</w:t>
      </w:r>
      <w:r w:rsidRPr="00631A05">
        <w:rPr>
          <w:sz w:val="22"/>
          <w:szCs w:val="22"/>
          <w:highlight w:val="yellow"/>
        </w:rPr>
        <w:t xml:space="preserve"> 77, the definition of a tax abatement is:  A reduction in tax revenues that results from an </w:t>
      </w:r>
      <w:r w:rsidRPr="00631A05">
        <w:rPr>
          <w:bCs/>
          <w:sz w:val="22"/>
          <w:szCs w:val="22"/>
          <w:highlight w:val="yellow"/>
        </w:rPr>
        <w:t xml:space="preserve">agreement </w:t>
      </w:r>
      <w:r w:rsidRPr="00631A05">
        <w:rPr>
          <w:sz w:val="22"/>
          <w:szCs w:val="22"/>
          <w:highlight w:val="yellow"/>
        </w:rPr>
        <w:t xml:space="preserve">between one or more governments and an </w:t>
      </w:r>
      <w:r w:rsidRPr="00631A05">
        <w:rPr>
          <w:bCs/>
          <w:sz w:val="22"/>
          <w:szCs w:val="22"/>
          <w:highlight w:val="yellow"/>
        </w:rPr>
        <w:t xml:space="preserve">individual or entity </w:t>
      </w:r>
      <w:r w:rsidRPr="00631A05">
        <w:rPr>
          <w:sz w:val="22"/>
          <w:szCs w:val="22"/>
          <w:highlight w:val="yellow"/>
        </w:rPr>
        <w:t xml:space="preserve">in which (a) one or more governments promise to </w:t>
      </w:r>
      <w:r w:rsidRPr="00631A05">
        <w:rPr>
          <w:bCs/>
          <w:sz w:val="22"/>
          <w:szCs w:val="22"/>
          <w:highlight w:val="yellow"/>
        </w:rPr>
        <w:t>forgo tax revenues</w:t>
      </w:r>
      <w:r w:rsidRPr="00631A05">
        <w:rPr>
          <w:sz w:val="22"/>
          <w:szCs w:val="22"/>
          <w:highlight w:val="yellow"/>
        </w:rPr>
        <w:t xml:space="preserve"> to which they are otherwise entitled </w:t>
      </w:r>
      <w:r w:rsidRPr="00631A05">
        <w:rPr>
          <w:bCs/>
          <w:sz w:val="22"/>
          <w:szCs w:val="22"/>
          <w:highlight w:val="yellow"/>
        </w:rPr>
        <w:t xml:space="preserve">and </w:t>
      </w:r>
      <w:r w:rsidRPr="00631A05">
        <w:rPr>
          <w:sz w:val="22"/>
          <w:szCs w:val="22"/>
          <w:highlight w:val="yellow"/>
        </w:rPr>
        <w:t xml:space="preserve">(b) the individual or entity promises to take a specific action </w:t>
      </w:r>
      <w:r w:rsidRPr="00631A05">
        <w:rPr>
          <w:bCs/>
          <w:sz w:val="22"/>
          <w:szCs w:val="22"/>
          <w:highlight w:val="yellow"/>
        </w:rPr>
        <w:t>after</w:t>
      </w:r>
      <w:r w:rsidRPr="00631A05">
        <w:rPr>
          <w:sz w:val="22"/>
          <w:szCs w:val="22"/>
          <w:highlight w:val="yellow"/>
        </w:rPr>
        <w:t xml:space="preserve"> the agreement has been entered into that contributes to economic development or otherwise benefits the governments or the citizens of those governments.  (GASB 77, paragraph 4)  See paragraphs 7 and 8 of GASB 77 for specific information related to disclosures of tax abatements.</w:t>
      </w:r>
      <w:r w:rsidRPr="00631A05">
        <w:rPr>
          <w:sz w:val="22"/>
          <w:szCs w:val="22"/>
        </w:rPr>
        <w:t xml:space="preserve"> </w:t>
      </w:r>
    </w:p>
    <w:p w14:paraId="68345FF6" w14:textId="77777777" w:rsidR="00D86946" w:rsidRPr="00631A05" w:rsidRDefault="00D86946" w:rsidP="00533678">
      <w:pPr>
        <w:widowControl/>
        <w:rPr>
          <w:sz w:val="22"/>
          <w:szCs w:val="22"/>
        </w:rPr>
      </w:pPr>
    </w:p>
    <w:p w14:paraId="3C524658" w14:textId="77777777" w:rsidR="00D86946" w:rsidRPr="00631A05" w:rsidRDefault="00D86946" w:rsidP="00533678">
      <w:pPr>
        <w:widowControl/>
        <w:jc w:val="both"/>
        <w:rPr>
          <w:sz w:val="22"/>
          <w:szCs w:val="22"/>
        </w:rPr>
      </w:pPr>
      <w:r w:rsidRPr="00631A05">
        <w:rPr>
          <w:sz w:val="22"/>
          <w:szCs w:val="22"/>
          <w:highlight w:val="yellow"/>
        </w:rPr>
        <w:t>Generally, disclosures for</w:t>
      </w:r>
      <w:r w:rsidRPr="00631A05">
        <w:rPr>
          <w:sz w:val="22"/>
          <w:szCs w:val="22"/>
        </w:rPr>
        <w:t xml:space="preserve"> </w:t>
      </w:r>
      <w:r w:rsidRPr="00631A05">
        <w:rPr>
          <w:sz w:val="22"/>
          <w:szCs w:val="22"/>
          <w:highlight w:val="green"/>
        </w:rPr>
        <w:t>governments that abate taxes</w:t>
      </w:r>
      <w:r w:rsidRPr="00631A05">
        <w:rPr>
          <w:sz w:val="22"/>
          <w:szCs w:val="22"/>
        </w:rPr>
        <w:t xml:space="preserve"> </w:t>
      </w:r>
      <w:r w:rsidRPr="00631A05">
        <w:rPr>
          <w:sz w:val="22"/>
          <w:szCs w:val="22"/>
          <w:highlight w:val="yellow"/>
        </w:rPr>
        <w:t>should include: Brief descriptive information, such as the name and purpose of the abatement, the tax being abated, the authority under which tax abatements are provided, eligibility criteria, the mechanism by which taxes are abated, provisions for recapturing abated taxes, and the types of commitments made by tax abatement recipients; the gross dollar amount of taxes abated during the period; commitments made by a government, other than to abate taxes, as part of a tax abatement agreement; amounts received or receivable from other governments in association with the foregone tax revenue</w:t>
      </w:r>
      <w:r w:rsidRPr="00631A05">
        <w:rPr>
          <w:sz w:val="22"/>
          <w:szCs w:val="22"/>
        </w:rPr>
        <w:t>.</w:t>
      </w:r>
    </w:p>
    <w:p w14:paraId="3B617FFA" w14:textId="77777777" w:rsidR="00D86946" w:rsidRPr="00631A05" w:rsidRDefault="00D86946" w:rsidP="00533678">
      <w:pPr>
        <w:widowControl/>
        <w:rPr>
          <w:sz w:val="22"/>
          <w:szCs w:val="22"/>
        </w:rPr>
      </w:pPr>
    </w:p>
    <w:p w14:paraId="267763C7" w14:textId="77777777" w:rsidR="00D86946" w:rsidRPr="00631A05" w:rsidRDefault="00D86946" w:rsidP="00533678">
      <w:pPr>
        <w:widowControl/>
        <w:jc w:val="both"/>
        <w:rPr>
          <w:sz w:val="22"/>
          <w:szCs w:val="22"/>
        </w:rPr>
      </w:pPr>
      <w:r w:rsidRPr="00631A05">
        <w:rPr>
          <w:sz w:val="22"/>
          <w:szCs w:val="22"/>
          <w:highlight w:val="yellow"/>
        </w:rPr>
        <w:t>Generally, disclosures of</w:t>
      </w:r>
      <w:r w:rsidRPr="00631A05">
        <w:rPr>
          <w:sz w:val="22"/>
          <w:szCs w:val="22"/>
        </w:rPr>
        <w:t xml:space="preserve"> </w:t>
      </w:r>
      <w:r w:rsidRPr="00631A05">
        <w:rPr>
          <w:sz w:val="22"/>
          <w:szCs w:val="22"/>
          <w:highlight w:val="green"/>
        </w:rPr>
        <w:t>tax abatement agreements of other governments reducing the reporting government’s tax revenues</w:t>
      </w:r>
      <w:r w:rsidRPr="00631A05">
        <w:rPr>
          <w:sz w:val="22"/>
          <w:szCs w:val="22"/>
        </w:rPr>
        <w:t xml:space="preserve"> </w:t>
      </w:r>
      <w:r w:rsidRPr="00631A05">
        <w:rPr>
          <w:sz w:val="22"/>
          <w:szCs w:val="22"/>
          <w:highlight w:val="yellow"/>
        </w:rPr>
        <w:t>should include:  The names of the governments that entered into the agreements and the specific taxes being abated; the gross dollar amount of taxes abated during the period; amounts received or receivable from other governments in association with the foregone tax revenue</w:t>
      </w:r>
    </w:p>
    <w:p w14:paraId="4D3B877C" w14:textId="77777777" w:rsidR="00D86946" w:rsidRPr="00631A05" w:rsidRDefault="00D86946" w:rsidP="00533678">
      <w:pPr>
        <w:widowControl/>
        <w:jc w:val="both"/>
        <w:rPr>
          <w:sz w:val="22"/>
          <w:szCs w:val="22"/>
        </w:rPr>
      </w:pPr>
    </w:p>
    <w:p w14:paraId="7FC970BE" w14:textId="77777777" w:rsidR="00D86946" w:rsidRPr="00631A05" w:rsidRDefault="00D86946" w:rsidP="00533678">
      <w:pPr>
        <w:widowControl/>
        <w:jc w:val="both"/>
        <w:rPr>
          <w:b/>
          <w:sz w:val="22"/>
          <w:szCs w:val="22"/>
        </w:rPr>
      </w:pPr>
      <w:r w:rsidRPr="00631A05">
        <w:rPr>
          <w:sz w:val="22"/>
          <w:szCs w:val="22"/>
          <w:highlight w:val="yellow"/>
        </w:rPr>
        <w:lastRenderedPageBreak/>
        <w:t>If information is omitted because it is legally prohibited from being disclosed, include a description of the general nature of the omitted information and the specific source of the legal prohibition.</w:t>
      </w:r>
    </w:p>
    <w:p w14:paraId="6DF71AE9" w14:textId="77777777" w:rsidR="00D86946" w:rsidRDefault="00D86946" w:rsidP="00533678">
      <w:pPr>
        <w:widowControl/>
        <w:jc w:val="both"/>
        <w:rPr>
          <w:b/>
          <w:sz w:val="22"/>
          <w:szCs w:val="24"/>
        </w:rPr>
      </w:pPr>
    </w:p>
    <w:p w14:paraId="3BD06072" w14:textId="77777777" w:rsidR="00733446" w:rsidRPr="0030481B" w:rsidRDefault="00733446" w:rsidP="00533678">
      <w:pPr>
        <w:widowControl/>
        <w:jc w:val="both"/>
        <w:rPr>
          <w:b/>
          <w:sz w:val="22"/>
          <w:szCs w:val="24"/>
        </w:rPr>
      </w:pPr>
    </w:p>
    <w:p w14:paraId="4410BC5F" w14:textId="2E1D5BFA" w:rsidR="00000EA9" w:rsidRPr="005374C3" w:rsidRDefault="00000EA9" w:rsidP="00533678">
      <w:pPr>
        <w:widowControl/>
        <w:jc w:val="both"/>
        <w:rPr>
          <w:b/>
          <w:sz w:val="24"/>
          <w:szCs w:val="24"/>
        </w:rPr>
      </w:pPr>
      <w:r w:rsidRPr="005374C3">
        <w:rPr>
          <w:b/>
          <w:sz w:val="24"/>
          <w:szCs w:val="24"/>
        </w:rPr>
        <w:t xml:space="preserve">Note </w:t>
      </w:r>
      <w:r w:rsidR="00215A53">
        <w:rPr>
          <w:b/>
          <w:sz w:val="24"/>
          <w:szCs w:val="24"/>
        </w:rPr>
        <w:t>7</w:t>
      </w:r>
      <w:r w:rsidRPr="005374C3">
        <w:rPr>
          <w:b/>
          <w:sz w:val="24"/>
          <w:szCs w:val="24"/>
        </w:rPr>
        <w:t xml:space="preserve"> – Interfund </w:t>
      </w:r>
      <w:r w:rsidR="00215A53">
        <w:rPr>
          <w:b/>
          <w:sz w:val="24"/>
          <w:szCs w:val="24"/>
        </w:rPr>
        <w:t>Balances and Transfers</w:t>
      </w:r>
    </w:p>
    <w:p w14:paraId="511762E0" w14:textId="77777777" w:rsidR="00000EA9" w:rsidRPr="005374C3" w:rsidRDefault="00000EA9" w:rsidP="00533678">
      <w:pPr>
        <w:widowControl/>
        <w:jc w:val="both"/>
        <w:rPr>
          <w:sz w:val="22"/>
          <w:szCs w:val="22"/>
        </w:rPr>
      </w:pPr>
    </w:p>
    <w:p w14:paraId="09390777" w14:textId="77777777" w:rsidR="00215A53" w:rsidRPr="00215A53" w:rsidRDefault="00215A53" w:rsidP="00533678">
      <w:pPr>
        <w:widowControl/>
        <w:autoSpaceDE/>
        <w:autoSpaceDN/>
        <w:adjustRightInd/>
        <w:jc w:val="both"/>
        <w:rPr>
          <w:b/>
          <w:i/>
          <w:sz w:val="22"/>
          <w:szCs w:val="22"/>
        </w:rPr>
      </w:pPr>
      <w:r w:rsidRPr="00215A53">
        <w:rPr>
          <w:b/>
          <w:i/>
          <w:sz w:val="22"/>
          <w:szCs w:val="22"/>
        </w:rPr>
        <w:t>Transfers</w:t>
      </w:r>
    </w:p>
    <w:p w14:paraId="6BE01CC5" w14:textId="77777777" w:rsidR="00215A53" w:rsidRPr="00215A53" w:rsidRDefault="00215A53" w:rsidP="00533678">
      <w:pPr>
        <w:widowControl/>
        <w:autoSpaceDE/>
        <w:autoSpaceDN/>
        <w:adjustRightInd/>
        <w:jc w:val="both"/>
        <w:rPr>
          <w:sz w:val="22"/>
          <w:szCs w:val="22"/>
        </w:rPr>
      </w:pPr>
    </w:p>
    <w:p w14:paraId="0FBCA8C8" w14:textId="77777777" w:rsidR="00215A53" w:rsidRPr="00215A53" w:rsidRDefault="00215A53" w:rsidP="00533678">
      <w:pPr>
        <w:widowControl/>
        <w:tabs>
          <w:tab w:val="left" w:pos="-1047"/>
          <w:tab w:val="right" w:pos="360"/>
          <w:tab w:val="left" w:pos="1440"/>
          <w:tab w:val="left" w:pos="2160"/>
          <w:tab w:val="right" w:pos="5184"/>
          <w:tab w:val="right" w:pos="6624"/>
          <w:tab w:val="right" w:pos="7380"/>
          <w:tab w:val="right" w:pos="9090"/>
        </w:tabs>
        <w:autoSpaceDE/>
        <w:autoSpaceDN/>
        <w:adjustRightInd/>
        <w:spacing w:line="240" w:lineRule="exact"/>
        <w:jc w:val="both"/>
        <w:rPr>
          <w:sz w:val="22"/>
          <w:szCs w:val="22"/>
        </w:rPr>
      </w:pPr>
      <w:r w:rsidRPr="00215A53">
        <w:rPr>
          <w:sz w:val="22"/>
          <w:szCs w:val="22"/>
        </w:rPr>
        <w:t>During 20</w:t>
      </w:r>
      <w:r w:rsidRPr="00BA56F7">
        <w:rPr>
          <w:sz w:val="22"/>
          <w:szCs w:val="22"/>
          <w:highlight w:val="green"/>
        </w:rPr>
        <w:t>CY</w:t>
      </w:r>
      <w:r w:rsidRPr="00215A53">
        <w:rPr>
          <w:sz w:val="22"/>
          <w:szCs w:val="22"/>
        </w:rPr>
        <w:t>, the following transfers were made:</w:t>
      </w:r>
    </w:p>
    <w:p w14:paraId="53A3B3D5" w14:textId="77777777" w:rsidR="00215A53" w:rsidRPr="00215A53" w:rsidRDefault="00215A53" w:rsidP="00533678">
      <w:pPr>
        <w:widowControl/>
        <w:tabs>
          <w:tab w:val="left" w:pos="-1047"/>
          <w:tab w:val="right" w:pos="360"/>
          <w:tab w:val="left" w:pos="1440"/>
          <w:tab w:val="left" w:pos="2160"/>
          <w:tab w:val="right" w:pos="5184"/>
          <w:tab w:val="right" w:pos="6624"/>
          <w:tab w:val="right" w:pos="7380"/>
          <w:tab w:val="right" w:pos="9090"/>
        </w:tabs>
        <w:autoSpaceDE/>
        <w:autoSpaceDN/>
        <w:adjustRightInd/>
        <w:spacing w:line="240" w:lineRule="exact"/>
        <w:jc w:val="center"/>
        <w:rPr>
          <w:sz w:val="22"/>
          <w:szCs w:val="22"/>
          <w:highlight w:val="green"/>
        </w:rPr>
      </w:pPr>
    </w:p>
    <w:p w14:paraId="4A36CE8A" w14:textId="1538BE2A" w:rsidR="00215A53" w:rsidRPr="00215A53" w:rsidRDefault="00733446" w:rsidP="00533678">
      <w:pPr>
        <w:widowControl/>
        <w:tabs>
          <w:tab w:val="left" w:pos="720"/>
          <w:tab w:val="left" w:pos="1584"/>
          <w:tab w:val="right" w:pos="5040"/>
          <w:tab w:val="right" w:pos="6480"/>
          <w:tab w:val="right" w:pos="7920"/>
          <w:tab w:val="right" w:pos="9360"/>
        </w:tabs>
        <w:autoSpaceDE/>
        <w:autoSpaceDN/>
        <w:adjustRightInd/>
        <w:jc w:val="center"/>
        <w:rPr>
          <w:sz w:val="22"/>
          <w:szCs w:val="22"/>
          <w:highlight w:val="green"/>
        </w:rPr>
      </w:pPr>
      <w:bookmarkStart w:id="134" w:name="_MON_1421061283"/>
      <w:bookmarkStart w:id="135" w:name="_MON_1421061639"/>
      <w:bookmarkStart w:id="136" w:name="_MON_1421063218"/>
      <w:bookmarkStart w:id="137" w:name="_MON_1421063769"/>
      <w:bookmarkStart w:id="138" w:name="_MON_1421057750"/>
      <w:bookmarkStart w:id="139" w:name="_MON_1421058138"/>
      <w:bookmarkStart w:id="140" w:name="_MON_1421058372"/>
      <w:bookmarkStart w:id="141" w:name="_MON_1421058943"/>
      <w:bookmarkStart w:id="142" w:name="_MON_1421059039"/>
      <w:bookmarkStart w:id="143" w:name="_MON_1421218288"/>
      <w:bookmarkStart w:id="144" w:name="_MON_1421059057"/>
      <w:bookmarkStart w:id="145" w:name="_MON_1421059094"/>
      <w:bookmarkStart w:id="146" w:name="_MON_1421059104"/>
      <w:bookmarkStart w:id="147" w:name="_MON_1421239678"/>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rPr>
          <w:sz w:val="22"/>
          <w:szCs w:val="22"/>
          <w:highlight w:val="green"/>
        </w:rPr>
        <w:t>-</w:t>
      </w:r>
      <w:bookmarkStart w:id="148" w:name="_MON_1421059156"/>
      <w:bookmarkEnd w:id="148"/>
      <w:r w:rsidR="00AD2932" w:rsidRPr="00D930DB">
        <w:rPr>
          <w:sz w:val="22"/>
          <w:szCs w:val="22"/>
          <w:highlight w:val="green"/>
        </w:rPr>
        <w:object w:dxaOrig="7194" w:dyaOrig="1784" w14:anchorId="2594106D">
          <v:shape id="_x0000_i1031" type="#_x0000_t75" style="width:348pt;height:94.2pt" o:ole="" o:preferrelative="f">
            <v:imagedata r:id="rId25" o:title=""/>
            <o:lock v:ext="edit" aspectratio="f"/>
          </v:shape>
          <o:OLEObject Type="Embed" ProgID="Excel.Sheet.8" ShapeID="_x0000_i1031" DrawAspect="Content" ObjectID="_1798480933" r:id="rId26"/>
        </w:object>
      </w:r>
    </w:p>
    <w:p w14:paraId="339E6E02" w14:textId="77777777" w:rsidR="00BA56F7" w:rsidRDefault="00BA56F7" w:rsidP="00533678">
      <w:pPr>
        <w:widowControl/>
        <w:autoSpaceDE/>
        <w:autoSpaceDN/>
        <w:adjustRightInd/>
        <w:jc w:val="both"/>
        <w:rPr>
          <w:sz w:val="22"/>
          <w:szCs w:val="22"/>
          <w:highlight w:val="green"/>
        </w:rPr>
      </w:pPr>
    </w:p>
    <w:p w14:paraId="5FEF0F74" w14:textId="4619D067" w:rsidR="00215A53" w:rsidRPr="00215A53" w:rsidRDefault="00215A53" w:rsidP="00533678">
      <w:pPr>
        <w:widowControl/>
        <w:autoSpaceDE/>
        <w:autoSpaceDN/>
        <w:adjustRightInd/>
        <w:jc w:val="both"/>
        <w:rPr>
          <w:sz w:val="22"/>
          <w:szCs w:val="22"/>
        </w:rPr>
      </w:pPr>
      <w:r w:rsidRPr="00215A53">
        <w:rPr>
          <w:sz w:val="22"/>
          <w:szCs w:val="22"/>
          <w:highlight w:val="green"/>
        </w:rPr>
        <w:t xml:space="preserve">The </w:t>
      </w:r>
      <w:r w:rsidR="000B7AB8" w:rsidRPr="00215A53">
        <w:rPr>
          <w:sz w:val="22"/>
          <w:szCs w:val="22"/>
          <w:highlight w:val="green"/>
        </w:rPr>
        <w:t>above-mentioned</w:t>
      </w:r>
      <w:r w:rsidRPr="00215A53">
        <w:rPr>
          <w:sz w:val="22"/>
          <w:szCs w:val="22"/>
          <w:highlight w:val="green"/>
        </w:rPr>
        <w:t xml:space="preserve"> Transfers From/To were used to move receipts from the fund that statute or budget requires to collect them to the fund that statute or budget requires to expend them; and to use unrestricted receipts collected in the General Fund to finance various programs accounted for in other funds in accordance with budgetary authorizations.  Nonroutine transfers from the Major Special Revenue Fund and other nonmajor governmental funds </w:t>
      </w:r>
      <w:proofErr w:type="gramStart"/>
      <w:r w:rsidRPr="00215A53">
        <w:rPr>
          <w:sz w:val="22"/>
          <w:szCs w:val="22"/>
          <w:highlight w:val="green"/>
        </w:rPr>
        <w:t>were in compliance with</w:t>
      </w:r>
      <w:proofErr w:type="gramEnd"/>
      <w:r w:rsidRPr="00215A53">
        <w:rPr>
          <w:sz w:val="22"/>
          <w:szCs w:val="22"/>
          <w:highlight w:val="green"/>
        </w:rPr>
        <w:t xml:space="preserve"> Ohio Revised Code to either make debt payments or for designated projects.</w:t>
      </w:r>
      <w:r w:rsidRPr="00215A53">
        <w:rPr>
          <w:sz w:val="22"/>
          <w:szCs w:val="22"/>
        </w:rPr>
        <w:t xml:space="preserve">  </w:t>
      </w:r>
      <w:r w:rsidRPr="00BA56F7">
        <w:rPr>
          <w:sz w:val="22"/>
          <w:szCs w:val="22"/>
          <w:highlight w:val="yellow"/>
        </w:rPr>
        <w:t>(Modify as Needed)</w:t>
      </w:r>
    </w:p>
    <w:p w14:paraId="7130AEFA" w14:textId="77777777" w:rsidR="0098582F" w:rsidRDefault="0098582F" w:rsidP="00533678">
      <w:pPr>
        <w:widowControl/>
        <w:autoSpaceDE/>
        <w:autoSpaceDN/>
        <w:adjustRightInd/>
        <w:jc w:val="both"/>
        <w:rPr>
          <w:b/>
          <w:i/>
          <w:sz w:val="22"/>
          <w:szCs w:val="22"/>
        </w:rPr>
      </w:pPr>
    </w:p>
    <w:p w14:paraId="73B5A4DA" w14:textId="77777777" w:rsidR="00215A53" w:rsidRPr="00215A53" w:rsidRDefault="00215A53" w:rsidP="00533678">
      <w:pPr>
        <w:widowControl/>
        <w:autoSpaceDE/>
        <w:autoSpaceDN/>
        <w:adjustRightInd/>
        <w:jc w:val="both"/>
        <w:rPr>
          <w:b/>
          <w:i/>
          <w:sz w:val="22"/>
          <w:szCs w:val="22"/>
        </w:rPr>
      </w:pPr>
      <w:r w:rsidRPr="00215A53">
        <w:rPr>
          <w:b/>
          <w:i/>
          <w:sz w:val="22"/>
          <w:szCs w:val="22"/>
        </w:rPr>
        <w:t>Interfund Balances</w:t>
      </w:r>
    </w:p>
    <w:p w14:paraId="1A823F1A" w14:textId="77777777" w:rsidR="00215A53" w:rsidRPr="00215A53" w:rsidRDefault="00215A53" w:rsidP="00533678">
      <w:pPr>
        <w:widowControl/>
        <w:autoSpaceDE/>
        <w:autoSpaceDN/>
        <w:adjustRightInd/>
        <w:jc w:val="both"/>
        <w:rPr>
          <w:sz w:val="22"/>
          <w:szCs w:val="22"/>
        </w:rPr>
      </w:pPr>
    </w:p>
    <w:p w14:paraId="11BB7E52" w14:textId="77777777" w:rsidR="00215A53" w:rsidRPr="00215A53" w:rsidRDefault="00215A53" w:rsidP="00533678">
      <w:pPr>
        <w:widowControl/>
        <w:autoSpaceDE/>
        <w:autoSpaceDN/>
        <w:adjustRightInd/>
        <w:jc w:val="both"/>
        <w:rPr>
          <w:sz w:val="22"/>
          <w:szCs w:val="22"/>
        </w:rPr>
      </w:pPr>
      <w:r w:rsidRPr="00215A53">
        <w:rPr>
          <w:sz w:val="22"/>
          <w:szCs w:val="22"/>
        </w:rPr>
        <w:t xml:space="preserve">Interfund balances </w:t>
      </w:r>
      <w:proofErr w:type="gramStart"/>
      <w:r w:rsidRPr="00215A53">
        <w:rPr>
          <w:sz w:val="22"/>
          <w:szCs w:val="22"/>
        </w:rPr>
        <w:t>at</w:t>
      </w:r>
      <w:proofErr w:type="gramEnd"/>
      <w:r w:rsidRPr="00215A53">
        <w:rPr>
          <w:sz w:val="22"/>
          <w:szCs w:val="22"/>
        </w:rPr>
        <w:t xml:space="preserve"> December 31, 20</w:t>
      </w:r>
      <w:r w:rsidRPr="00BA56F7">
        <w:rPr>
          <w:sz w:val="22"/>
          <w:szCs w:val="22"/>
          <w:highlight w:val="green"/>
        </w:rPr>
        <w:t>CY</w:t>
      </w:r>
      <w:r w:rsidRPr="00215A53">
        <w:rPr>
          <w:sz w:val="22"/>
          <w:szCs w:val="22"/>
        </w:rPr>
        <w:t>, consisted of the following individual fund receivables and payables:</w:t>
      </w:r>
    </w:p>
    <w:p w14:paraId="60E9DA44" w14:textId="77777777" w:rsidR="00215A53" w:rsidRPr="00215A53" w:rsidRDefault="00215A53" w:rsidP="00533678">
      <w:pPr>
        <w:widowControl/>
        <w:autoSpaceDE/>
        <w:autoSpaceDN/>
        <w:adjustRightInd/>
        <w:rPr>
          <w:b/>
          <w:sz w:val="22"/>
          <w:szCs w:val="22"/>
        </w:rPr>
      </w:pPr>
    </w:p>
    <w:bookmarkStart w:id="149" w:name="_MON_1387692204"/>
    <w:bookmarkStart w:id="150" w:name="_MON_1351339338"/>
    <w:bookmarkStart w:id="151" w:name="_MON_1381213285"/>
    <w:bookmarkStart w:id="152" w:name="_MON_1381215073"/>
    <w:bookmarkEnd w:id="149"/>
    <w:bookmarkEnd w:id="150"/>
    <w:bookmarkEnd w:id="151"/>
    <w:bookmarkEnd w:id="152"/>
    <w:bookmarkStart w:id="153" w:name="_MON_1387612286"/>
    <w:bookmarkEnd w:id="153"/>
    <w:p w14:paraId="066751AD" w14:textId="24DF41C4" w:rsidR="00215A53" w:rsidRPr="00215A53" w:rsidRDefault="00AD2932" w:rsidP="00533678">
      <w:pPr>
        <w:widowControl/>
        <w:tabs>
          <w:tab w:val="left" w:pos="3420"/>
        </w:tabs>
        <w:autoSpaceDE/>
        <w:autoSpaceDN/>
        <w:adjustRightInd/>
        <w:jc w:val="center"/>
        <w:rPr>
          <w:sz w:val="22"/>
          <w:szCs w:val="22"/>
          <w:highlight w:val="green"/>
        </w:rPr>
      </w:pPr>
      <w:r w:rsidRPr="00D930DB">
        <w:rPr>
          <w:sz w:val="22"/>
          <w:szCs w:val="22"/>
          <w:highlight w:val="green"/>
        </w:rPr>
        <w:object w:dxaOrig="5818" w:dyaOrig="3916" w14:anchorId="3C46F94B">
          <v:shape id="_x0000_i1032" type="#_x0000_t75" style="width:290.4pt;height:196.2pt" o:ole="">
            <v:imagedata r:id="rId27" o:title=""/>
          </v:shape>
          <o:OLEObject Type="Embed" ProgID="Excel.Sheet.8" ShapeID="_x0000_i1032" DrawAspect="Content" ObjectID="_1798480934" r:id="rId28"/>
        </w:object>
      </w:r>
    </w:p>
    <w:p w14:paraId="44B50DB3" w14:textId="77777777" w:rsidR="00215A53" w:rsidRPr="00215A53" w:rsidRDefault="00215A53" w:rsidP="00533678">
      <w:pPr>
        <w:widowControl/>
        <w:autoSpaceDE/>
        <w:autoSpaceDN/>
        <w:adjustRightInd/>
        <w:jc w:val="both"/>
        <w:rPr>
          <w:sz w:val="22"/>
          <w:szCs w:val="22"/>
          <w:highlight w:val="green"/>
        </w:rPr>
      </w:pPr>
    </w:p>
    <w:p w14:paraId="70DB5A2D" w14:textId="77777777" w:rsidR="00215A53" w:rsidRPr="00215A53" w:rsidRDefault="00215A53" w:rsidP="00533678">
      <w:pPr>
        <w:widowControl/>
        <w:autoSpaceDE/>
        <w:autoSpaceDN/>
        <w:adjustRightInd/>
        <w:jc w:val="both"/>
        <w:rPr>
          <w:i/>
          <w:sz w:val="22"/>
          <w:szCs w:val="22"/>
        </w:rPr>
      </w:pPr>
      <w:r w:rsidRPr="00215A53">
        <w:rPr>
          <w:sz w:val="22"/>
          <w:szCs w:val="22"/>
          <w:highlight w:val="green"/>
        </w:rPr>
        <w:t>Interfund balances at December 31, 20CY, consisted of $</w:t>
      </w:r>
      <w:proofErr w:type="gramStart"/>
      <w:r w:rsidRPr="00215A53">
        <w:rPr>
          <w:sz w:val="22"/>
          <w:szCs w:val="22"/>
          <w:highlight w:val="green"/>
        </w:rPr>
        <w:t>XXX,XXX</w:t>
      </w:r>
      <w:proofErr w:type="gramEnd"/>
      <w:r w:rsidRPr="00215A53">
        <w:rPr>
          <w:sz w:val="22"/>
          <w:szCs w:val="22"/>
          <w:highlight w:val="green"/>
        </w:rPr>
        <w:t xml:space="preserve"> advanced to other governmental funds to provide working capital for operations or projects.  The interfund receivables/payables are expected to be repaid within one year.   </w:t>
      </w:r>
      <w:r w:rsidRPr="004F4755">
        <w:rPr>
          <w:sz w:val="22"/>
          <w:szCs w:val="22"/>
          <w:highlight w:val="yellow"/>
        </w:rPr>
        <w:t>(Modify as needed.)</w:t>
      </w:r>
    </w:p>
    <w:p w14:paraId="4D8A890C" w14:textId="44484B00" w:rsidR="00F921CD" w:rsidRPr="005374C3" w:rsidRDefault="00215A53" w:rsidP="00533678">
      <w:pPr>
        <w:widowControl/>
        <w:rPr>
          <w:b/>
          <w:sz w:val="24"/>
          <w:szCs w:val="24"/>
        </w:rPr>
      </w:pPr>
      <w:r>
        <w:rPr>
          <w:b/>
          <w:bCs/>
          <w:sz w:val="24"/>
          <w:szCs w:val="24"/>
        </w:rPr>
        <w:lastRenderedPageBreak/>
        <w:t>Note 8</w:t>
      </w:r>
      <w:r w:rsidR="00F921CD" w:rsidRPr="005374C3">
        <w:rPr>
          <w:b/>
          <w:bCs/>
          <w:sz w:val="24"/>
          <w:szCs w:val="24"/>
        </w:rPr>
        <w:t xml:space="preserve"> </w:t>
      </w:r>
      <w:r w:rsidR="004F4755" w:rsidRPr="005374C3">
        <w:rPr>
          <w:b/>
          <w:sz w:val="24"/>
          <w:szCs w:val="24"/>
        </w:rPr>
        <w:t>–</w:t>
      </w:r>
      <w:r w:rsidR="00F921CD" w:rsidRPr="005374C3">
        <w:rPr>
          <w:b/>
          <w:bCs/>
          <w:sz w:val="24"/>
          <w:szCs w:val="24"/>
        </w:rPr>
        <w:t xml:space="preserve"> Risk Management</w:t>
      </w:r>
    </w:p>
    <w:p w14:paraId="56B86128" w14:textId="77777777" w:rsidR="00F921CD" w:rsidRDefault="00F921CD" w:rsidP="00533678">
      <w:pPr>
        <w:widowControl/>
        <w:rPr>
          <w:b/>
          <w:sz w:val="22"/>
          <w:szCs w:val="22"/>
        </w:rPr>
      </w:pPr>
    </w:p>
    <w:p w14:paraId="7A742687" w14:textId="77777777" w:rsidR="007F2C4D" w:rsidRDefault="007F2C4D" w:rsidP="00533678">
      <w:pPr>
        <w:widowControl/>
        <w:tabs>
          <w:tab w:val="left" w:pos="0"/>
          <w:tab w:val="left" w:pos="547"/>
          <w:tab w:val="left" w:pos="907"/>
          <w:tab w:val="left" w:pos="1440"/>
          <w:tab w:val="left" w:pos="1987"/>
          <w:tab w:val="right" w:pos="4950"/>
          <w:tab w:val="right" w:pos="6390"/>
          <w:tab w:val="right" w:pos="7830"/>
          <w:tab w:val="right" w:pos="9270"/>
        </w:tabs>
        <w:jc w:val="both"/>
        <w:rPr>
          <w:iCs/>
          <w:sz w:val="22"/>
          <w:szCs w:val="22"/>
        </w:rPr>
      </w:pPr>
      <w:r w:rsidRPr="00857BD3">
        <w:rPr>
          <w:iCs/>
          <w:sz w:val="22"/>
          <w:szCs w:val="22"/>
          <w:highlight w:val="yellow"/>
        </w:rPr>
        <w:t>[Note: Use only the paragraphs that apply.  Some of the descriptions</w:t>
      </w:r>
      <w:r>
        <w:rPr>
          <w:iCs/>
          <w:sz w:val="22"/>
          <w:szCs w:val="22"/>
          <w:highlight w:val="yellow"/>
        </w:rPr>
        <w:t xml:space="preserve"> below</w:t>
      </w:r>
      <w:r w:rsidRPr="00857BD3">
        <w:rPr>
          <w:iCs/>
          <w:sz w:val="22"/>
          <w:szCs w:val="22"/>
          <w:highlight w:val="yellow"/>
        </w:rPr>
        <w:t xml:space="preserve"> are mutually exclusive, so you </w:t>
      </w:r>
      <w:r w:rsidRPr="00857BD3">
        <w:rPr>
          <w:iCs/>
          <w:sz w:val="22"/>
          <w:szCs w:val="22"/>
          <w:highlight w:val="yellow"/>
          <w:u w:val="single"/>
        </w:rPr>
        <w:t>must</w:t>
      </w:r>
      <w:r w:rsidRPr="00857BD3">
        <w:rPr>
          <w:iCs/>
          <w:sz w:val="22"/>
          <w:szCs w:val="22"/>
          <w:highlight w:val="yellow"/>
        </w:rPr>
        <w:t xml:space="preserve"> make appropriate modification.] [If your </w:t>
      </w:r>
      <w:r>
        <w:rPr>
          <w:iCs/>
          <w:sz w:val="22"/>
          <w:szCs w:val="22"/>
          <w:highlight w:val="yellow"/>
        </w:rPr>
        <w:t>Entity</w:t>
      </w:r>
      <w:r w:rsidRPr="00857BD3">
        <w:rPr>
          <w:iCs/>
          <w:sz w:val="22"/>
          <w:szCs w:val="22"/>
          <w:highlight w:val="yellow"/>
        </w:rPr>
        <w:t xml:space="preserve"> belongs to Ohio Plan Healthcare Consortium, Inc. (OPHC), Ohio Plan Risk Management, Inc. (OPRM), Ohio Township Association Risk Management Authority (OTARMA) or Public Entities Pool (PEP)</w:t>
      </w:r>
      <w:r>
        <w:rPr>
          <w:iCs/>
          <w:sz w:val="22"/>
          <w:szCs w:val="22"/>
          <w:highlight w:val="yellow"/>
        </w:rPr>
        <w:t>,</w:t>
      </w:r>
      <w:r w:rsidRPr="00857BD3">
        <w:rPr>
          <w:iCs/>
          <w:sz w:val="22"/>
          <w:szCs w:val="22"/>
          <w:highlight w:val="yellow"/>
        </w:rPr>
        <w:t xml:space="preserve"> see </w:t>
      </w:r>
      <w:hyperlink r:id="rId29" w:history="1">
        <w:r w:rsidRPr="00857BD3">
          <w:rPr>
            <w:rStyle w:val="Hyperlink"/>
            <w:iCs/>
            <w:sz w:val="22"/>
            <w:szCs w:val="22"/>
            <w:highlight w:val="yellow"/>
          </w:rPr>
          <w:t>http://www.ohioauditor.gov/references/shells/footnotes.html</w:t>
        </w:r>
      </w:hyperlink>
      <w:r w:rsidRPr="00857BD3">
        <w:rPr>
          <w:iCs/>
          <w:sz w:val="22"/>
          <w:szCs w:val="22"/>
          <w:highlight w:val="yellow"/>
        </w:rPr>
        <w:t xml:space="preserve"> for applicable risk management footnote. Replace the applicable parts of the footnote below with the specialized footnote.]</w:t>
      </w:r>
    </w:p>
    <w:p w14:paraId="54F6F191" w14:textId="77777777" w:rsidR="007F2C4D" w:rsidRPr="00215A53" w:rsidRDefault="007F2C4D" w:rsidP="00533678">
      <w:pPr>
        <w:widowControl/>
        <w:tabs>
          <w:tab w:val="left" w:pos="0"/>
          <w:tab w:val="left" w:pos="547"/>
          <w:tab w:val="left" w:pos="907"/>
          <w:tab w:val="left" w:pos="1440"/>
          <w:tab w:val="left" w:pos="1987"/>
          <w:tab w:val="right" w:pos="4950"/>
          <w:tab w:val="right" w:pos="6390"/>
          <w:tab w:val="right" w:pos="7830"/>
          <w:tab w:val="right" w:pos="9270"/>
        </w:tabs>
        <w:autoSpaceDE/>
        <w:autoSpaceDN/>
        <w:adjustRightInd/>
        <w:jc w:val="both"/>
        <w:rPr>
          <w:iCs/>
          <w:sz w:val="22"/>
          <w:szCs w:val="22"/>
        </w:rPr>
      </w:pPr>
    </w:p>
    <w:p w14:paraId="209E3081" w14:textId="6A350B26" w:rsidR="007F2C4D" w:rsidRPr="00215A53" w:rsidRDefault="007F2C4D" w:rsidP="00533678">
      <w:pPr>
        <w:widowControl/>
        <w:tabs>
          <w:tab w:val="left" w:pos="0"/>
          <w:tab w:val="left" w:pos="547"/>
          <w:tab w:val="left" w:pos="936"/>
          <w:tab w:val="left" w:pos="1440"/>
          <w:tab w:val="left" w:pos="1987"/>
        </w:tabs>
        <w:autoSpaceDE/>
        <w:autoSpaceDN/>
        <w:adjustRightInd/>
        <w:jc w:val="both"/>
        <w:rPr>
          <w:sz w:val="22"/>
          <w:szCs w:val="22"/>
        </w:rPr>
      </w:pPr>
      <w:r w:rsidRPr="00215A53">
        <w:rPr>
          <w:iCs/>
          <w:sz w:val="22"/>
          <w:szCs w:val="22"/>
          <w:highlight w:val="yellow"/>
        </w:rPr>
        <w:t>[If the footnote at the link above is not for the fiscal year you are reporting, please obtain the necessary information from these risk management agencies, as applicable.  If the footnote information is not available for your fiscal year from these agencies, use the most recent information available and add a note in your footno</w:t>
      </w:r>
      <w:r w:rsidRPr="008627DF">
        <w:rPr>
          <w:iCs/>
          <w:sz w:val="22"/>
          <w:szCs w:val="22"/>
          <w:highlight w:val="yellow"/>
        </w:rPr>
        <w:t>te</w:t>
      </w:r>
      <w:r w:rsidR="00E708D5" w:rsidRPr="008627DF">
        <w:rPr>
          <w:iCs/>
          <w:sz w:val="22"/>
          <w:szCs w:val="22"/>
          <w:highlight w:val="yellow"/>
        </w:rPr>
        <w:t xml:space="preserve"> referencing</w:t>
      </w:r>
      <w:r w:rsidRPr="008627DF">
        <w:rPr>
          <w:iCs/>
          <w:sz w:val="22"/>
          <w:szCs w:val="22"/>
          <w:highlight w:val="yellow"/>
        </w:rPr>
        <w:t xml:space="preserve"> the </w:t>
      </w:r>
      <w:proofErr w:type="gramStart"/>
      <w:r w:rsidRPr="008627DF">
        <w:rPr>
          <w:iCs/>
          <w:sz w:val="22"/>
          <w:szCs w:val="22"/>
          <w:highlight w:val="yellow"/>
        </w:rPr>
        <w:t>time period</w:t>
      </w:r>
      <w:proofErr w:type="gramEnd"/>
      <w:r w:rsidRPr="008627DF">
        <w:rPr>
          <w:iCs/>
          <w:sz w:val="22"/>
          <w:szCs w:val="22"/>
          <w:highlight w:val="yellow"/>
        </w:rPr>
        <w:t xml:space="preserve"> of the information reported and indicate it is the most recent information availa</w:t>
      </w:r>
      <w:r w:rsidRPr="00215A53">
        <w:rPr>
          <w:iCs/>
          <w:sz w:val="22"/>
          <w:szCs w:val="22"/>
          <w:highlight w:val="yellow"/>
        </w:rPr>
        <w:t>ble at the time the footnotes were prepared.]</w:t>
      </w:r>
      <w:r w:rsidRPr="00215A53">
        <w:rPr>
          <w:iCs/>
          <w:sz w:val="22"/>
          <w:szCs w:val="22"/>
        </w:rPr>
        <w:t xml:space="preserve"> </w:t>
      </w:r>
    </w:p>
    <w:p w14:paraId="6FB77CC2" w14:textId="77777777" w:rsidR="007F2C4D" w:rsidRPr="005374C3" w:rsidRDefault="007F2C4D" w:rsidP="00533678">
      <w:pPr>
        <w:widowControl/>
        <w:rPr>
          <w:b/>
          <w:sz w:val="22"/>
          <w:szCs w:val="22"/>
        </w:rPr>
      </w:pPr>
    </w:p>
    <w:p w14:paraId="6D3A0BA5" w14:textId="77777777" w:rsidR="00F921CD" w:rsidRPr="005374C3" w:rsidRDefault="00F921CD" w:rsidP="00533678">
      <w:pPr>
        <w:widowControl/>
        <w:jc w:val="both"/>
        <w:rPr>
          <w:sz w:val="22"/>
          <w:szCs w:val="22"/>
        </w:rPr>
      </w:pPr>
      <w:r w:rsidRPr="005374C3">
        <w:rPr>
          <w:sz w:val="22"/>
          <w:szCs w:val="22"/>
        </w:rPr>
        <w:t>The Library is exposed to various risks of loss related to torts; theft of, damage to</w:t>
      </w:r>
      <w:r w:rsidR="007355DF" w:rsidRPr="005374C3">
        <w:rPr>
          <w:sz w:val="22"/>
          <w:szCs w:val="22"/>
        </w:rPr>
        <w:t>,</w:t>
      </w:r>
      <w:r w:rsidRPr="005374C3">
        <w:rPr>
          <w:sz w:val="22"/>
          <w:szCs w:val="22"/>
        </w:rPr>
        <w:t xml:space="preserve"> and destruction of assets; errors and omissions; injuries to employees</w:t>
      </w:r>
      <w:r w:rsidR="007355DF" w:rsidRPr="005374C3">
        <w:rPr>
          <w:sz w:val="22"/>
          <w:szCs w:val="22"/>
        </w:rPr>
        <w:t>;</w:t>
      </w:r>
      <w:r w:rsidRPr="005374C3">
        <w:rPr>
          <w:sz w:val="22"/>
          <w:szCs w:val="22"/>
        </w:rPr>
        <w:t xml:space="preserve"> and</w:t>
      </w:r>
      <w:r w:rsidR="00D8119F" w:rsidRPr="005374C3">
        <w:rPr>
          <w:sz w:val="22"/>
          <w:szCs w:val="22"/>
        </w:rPr>
        <w:t xml:space="preserve"> natural disasters.  During 20</w:t>
      </w:r>
      <w:r w:rsidR="00B12430" w:rsidRPr="004F4755">
        <w:rPr>
          <w:sz w:val="22"/>
          <w:szCs w:val="22"/>
          <w:highlight w:val="green"/>
        </w:rPr>
        <w:t>CY</w:t>
      </w:r>
      <w:r w:rsidRPr="005374C3">
        <w:rPr>
          <w:sz w:val="22"/>
          <w:szCs w:val="22"/>
        </w:rPr>
        <w:t>, the Library contracted with several companies for various types of insurance coverage as follows:</w:t>
      </w:r>
    </w:p>
    <w:p w14:paraId="66DDABCE" w14:textId="77777777" w:rsidR="004A3529" w:rsidRDefault="004A3529" w:rsidP="00533678">
      <w:pPr>
        <w:widowControl/>
        <w:jc w:val="center"/>
        <w:rPr>
          <w:b/>
          <w:sz w:val="22"/>
          <w:szCs w:val="22"/>
        </w:rPr>
      </w:pPr>
    </w:p>
    <w:bookmarkStart w:id="154" w:name="_MON_1369477104"/>
    <w:bookmarkStart w:id="155" w:name="_MON_1387625404"/>
    <w:bookmarkStart w:id="156" w:name="_MON_1341318702"/>
    <w:bookmarkStart w:id="157" w:name="_MON_1341819566"/>
    <w:bookmarkStart w:id="158" w:name="_MON_1342966771"/>
    <w:bookmarkStart w:id="159" w:name="_MON_1349608706"/>
    <w:bookmarkEnd w:id="154"/>
    <w:bookmarkEnd w:id="155"/>
    <w:bookmarkEnd w:id="156"/>
    <w:bookmarkEnd w:id="157"/>
    <w:bookmarkEnd w:id="158"/>
    <w:bookmarkEnd w:id="159"/>
    <w:bookmarkStart w:id="160" w:name="_MON_1349610739"/>
    <w:bookmarkEnd w:id="160"/>
    <w:p w14:paraId="6114E935" w14:textId="0604208B" w:rsidR="004A3529" w:rsidRDefault="00AD2932" w:rsidP="00533678">
      <w:pPr>
        <w:widowControl/>
        <w:jc w:val="center"/>
        <w:rPr>
          <w:sz w:val="22"/>
          <w:szCs w:val="22"/>
          <w:lang w:eastAsia="ja-JP"/>
        </w:rPr>
      </w:pPr>
      <w:r w:rsidRPr="00215A53">
        <w:rPr>
          <w:highlight w:val="green"/>
        </w:rPr>
        <w:object w:dxaOrig="7837" w:dyaOrig="4637" w14:anchorId="09D687F8">
          <v:shape id="_x0000_i1033" type="#_x0000_t75" style="width:391.2pt;height:232.2pt" o:ole="">
            <v:imagedata r:id="rId30" o:title=""/>
          </v:shape>
          <o:OLEObject Type="Embed" ProgID="Excel.Sheet.8" ShapeID="_x0000_i1033" DrawAspect="Content" ObjectID="_1798480935" r:id="rId31"/>
        </w:object>
      </w:r>
    </w:p>
    <w:p w14:paraId="7A437B41" w14:textId="77777777" w:rsidR="00BC3C43" w:rsidRPr="00533678" w:rsidRDefault="00BC3C43" w:rsidP="00533678">
      <w:pPr>
        <w:widowControl/>
        <w:jc w:val="center"/>
        <w:rPr>
          <w:b/>
          <w:sz w:val="18"/>
          <w:szCs w:val="22"/>
        </w:rPr>
      </w:pPr>
    </w:p>
    <w:p w14:paraId="09DC6720" w14:textId="77777777" w:rsidR="00F921CD" w:rsidRPr="005374C3" w:rsidRDefault="00F921CD" w:rsidP="00533678">
      <w:pPr>
        <w:widowControl/>
        <w:jc w:val="both"/>
        <w:rPr>
          <w:sz w:val="22"/>
          <w:szCs w:val="22"/>
        </w:rPr>
      </w:pPr>
      <w:r w:rsidRPr="00B242B7">
        <w:rPr>
          <w:sz w:val="22"/>
          <w:szCs w:val="22"/>
          <w:highlight w:val="green"/>
        </w:rPr>
        <w:t xml:space="preserve">Settled claims have not exceeded </w:t>
      </w:r>
      <w:r w:rsidR="00CC68D8" w:rsidRPr="00B242B7">
        <w:rPr>
          <w:sz w:val="22"/>
          <w:szCs w:val="22"/>
          <w:highlight w:val="green"/>
        </w:rPr>
        <w:t xml:space="preserve">this </w:t>
      </w:r>
      <w:r w:rsidRPr="00B242B7">
        <w:rPr>
          <w:sz w:val="22"/>
          <w:szCs w:val="22"/>
          <w:highlight w:val="green"/>
        </w:rPr>
        <w:t>coverage in any of the last three years and there was no significant reduction in coverage from the prior year.</w:t>
      </w:r>
    </w:p>
    <w:p w14:paraId="676CE980" w14:textId="77777777" w:rsidR="00215A53" w:rsidRDefault="00215A53" w:rsidP="00533678">
      <w:pPr>
        <w:widowControl/>
        <w:autoSpaceDE/>
        <w:autoSpaceDN/>
        <w:adjustRightInd/>
        <w:jc w:val="both"/>
        <w:rPr>
          <w:sz w:val="22"/>
          <w:szCs w:val="22"/>
          <w:highlight w:val="green"/>
        </w:rPr>
      </w:pPr>
    </w:p>
    <w:p w14:paraId="5846BA27" w14:textId="3274F247" w:rsidR="00215A53" w:rsidRPr="00215A53" w:rsidRDefault="00215A53" w:rsidP="00533678">
      <w:pPr>
        <w:widowControl/>
        <w:autoSpaceDE/>
        <w:autoSpaceDN/>
        <w:adjustRightInd/>
        <w:jc w:val="both"/>
        <w:rPr>
          <w:sz w:val="22"/>
          <w:szCs w:val="22"/>
          <w:highlight w:val="green"/>
        </w:rPr>
      </w:pPr>
      <w:r w:rsidRPr="00215A53">
        <w:rPr>
          <w:sz w:val="22"/>
          <w:szCs w:val="22"/>
          <w:highlight w:val="green"/>
        </w:rPr>
        <w:t xml:space="preserve">The </w:t>
      </w:r>
      <w:r w:rsidR="00C65D48">
        <w:rPr>
          <w:sz w:val="22"/>
          <w:szCs w:val="22"/>
          <w:highlight w:val="green"/>
        </w:rPr>
        <w:t>Library</w:t>
      </w:r>
      <w:r w:rsidRPr="00215A53">
        <w:rPr>
          <w:sz w:val="22"/>
          <w:szCs w:val="22"/>
          <w:highlight w:val="green"/>
        </w:rPr>
        <w:t xml:space="preserve"> participates in the </w:t>
      </w:r>
      <w:r>
        <w:rPr>
          <w:sz w:val="22"/>
          <w:szCs w:val="22"/>
          <w:highlight w:val="green"/>
        </w:rPr>
        <w:t>XXXX</w:t>
      </w:r>
      <w:r w:rsidRPr="00215A53">
        <w:rPr>
          <w:sz w:val="22"/>
          <w:szCs w:val="22"/>
          <w:highlight w:val="green"/>
        </w:rPr>
        <w:t xml:space="preserve"> Group Rating Plan (GRP) for worker’s compensation.  The intent of the GRP is to achieve the benefit of reduced premiums for the participants, foster safer working conditions and foster cost-effective claims management skills by virtue of its grouping and representation with other participants in the GRP.  The workers’ compensation experience of the participating </w:t>
      </w:r>
      <w:r w:rsidR="0030481B">
        <w:rPr>
          <w:sz w:val="22"/>
          <w:szCs w:val="22"/>
          <w:highlight w:val="green"/>
        </w:rPr>
        <w:t>entities</w:t>
      </w:r>
      <w:r w:rsidRPr="00215A53">
        <w:rPr>
          <w:sz w:val="22"/>
          <w:szCs w:val="22"/>
          <w:highlight w:val="green"/>
        </w:rPr>
        <w:t xml:space="preserve"> is calculated as one </w:t>
      </w:r>
      <w:proofErr w:type="gramStart"/>
      <w:r w:rsidRPr="00215A53">
        <w:rPr>
          <w:sz w:val="22"/>
          <w:szCs w:val="22"/>
          <w:highlight w:val="green"/>
        </w:rPr>
        <w:t>experience</w:t>
      </w:r>
      <w:proofErr w:type="gramEnd"/>
      <w:r w:rsidRPr="00215A53">
        <w:rPr>
          <w:sz w:val="22"/>
          <w:szCs w:val="22"/>
          <w:highlight w:val="green"/>
        </w:rPr>
        <w:t xml:space="preserve"> and a common premium is applied to all cities in the GRP.  Each participant pays its workers’ compensation premium to the state based on the rate for all cities in the GRP rather than its individual rate.  Total savings are then </w:t>
      </w:r>
      <w:proofErr w:type="gramStart"/>
      <w:r w:rsidRPr="00215A53">
        <w:rPr>
          <w:sz w:val="22"/>
          <w:szCs w:val="22"/>
          <w:highlight w:val="green"/>
        </w:rPr>
        <w:t>calculated</w:t>
      </w:r>
      <w:proofErr w:type="gramEnd"/>
      <w:r w:rsidRPr="00215A53">
        <w:rPr>
          <w:sz w:val="22"/>
          <w:szCs w:val="22"/>
          <w:highlight w:val="green"/>
        </w:rPr>
        <w:t xml:space="preserve"> and each participant’s individual performance is compared to the overall savings of the GRP.  A participant will then either receive money from or be required to contribute to the </w:t>
      </w:r>
      <w:r w:rsidRPr="00215A53">
        <w:rPr>
          <w:sz w:val="22"/>
          <w:szCs w:val="22"/>
          <w:highlight w:val="green"/>
        </w:rPr>
        <w:lastRenderedPageBreak/>
        <w:t>“Equity Pooling Fund.”  This “equity pooling” arrangement</w:t>
      </w:r>
      <w:r w:rsidRPr="008627DF">
        <w:rPr>
          <w:sz w:val="22"/>
          <w:szCs w:val="22"/>
          <w:highlight w:val="green"/>
        </w:rPr>
        <w:t xml:space="preserve"> </w:t>
      </w:r>
      <w:r w:rsidR="0088625D" w:rsidRPr="008627DF">
        <w:rPr>
          <w:sz w:val="22"/>
          <w:szCs w:val="22"/>
          <w:highlight w:val="green"/>
        </w:rPr>
        <w:t>e</w:t>
      </w:r>
      <w:r w:rsidRPr="008627DF">
        <w:rPr>
          <w:sz w:val="22"/>
          <w:szCs w:val="22"/>
          <w:highlight w:val="green"/>
        </w:rPr>
        <w:t>nsures that each participant shares equally in the overall performance o</w:t>
      </w:r>
      <w:r w:rsidR="0030481B" w:rsidRPr="008627DF">
        <w:rPr>
          <w:sz w:val="22"/>
          <w:szCs w:val="22"/>
          <w:highlight w:val="green"/>
        </w:rPr>
        <w:t xml:space="preserve">f the GRP. ____________ </w:t>
      </w:r>
      <w:r w:rsidRPr="008627DF">
        <w:rPr>
          <w:sz w:val="22"/>
          <w:szCs w:val="22"/>
          <w:highlight w:val="green"/>
        </w:rPr>
        <w:t>provides ad</w:t>
      </w:r>
      <w:r w:rsidRPr="00215A53">
        <w:rPr>
          <w:sz w:val="22"/>
          <w:szCs w:val="22"/>
          <w:highlight w:val="green"/>
        </w:rPr>
        <w:t>ministrative, cost control and actuarial services to the GRP.</w:t>
      </w:r>
    </w:p>
    <w:p w14:paraId="2C603E2A" w14:textId="77777777" w:rsidR="00215A53" w:rsidRPr="00215A53" w:rsidRDefault="00215A53" w:rsidP="00533678">
      <w:pPr>
        <w:widowControl/>
        <w:autoSpaceDE/>
        <w:autoSpaceDN/>
        <w:adjustRightInd/>
        <w:jc w:val="both"/>
        <w:rPr>
          <w:sz w:val="22"/>
          <w:szCs w:val="22"/>
          <w:highlight w:val="green"/>
        </w:rPr>
      </w:pPr>
    </w:p>
    <w:p w14:paraId="033D9C7D" w14:textId="77777777" w:rsidR="00215A53" w:rsidRPr="00215A53" w:rsidRDefault="00215A53" w:rsidP="00533678">
      <w:pPr>
        <w:widowControl/>
        <w:tabs>
          <w:tab w:val="left" w:pos="0"/>
          <w:tab w:val="left" w:pos="547"/>
          <w:tab w:val="left" w:pos="907"/>
          <w:tab w:val="left" w:pos="1440"/>
          <w:tab w:val="left" w:pos="1987"/>
          <w:tab w:val="right" w:pos="4950"/>
          <w:tab w:val="right" w:pos="6390"/>
          <w:tab w:val="right" w:pos="7830"/>
          <w:tab w:val="right" w:pos="9270"/>
        </w:tabs>
        <w:autoSpaceDE/>
        <w:autoSpaceDN/>
        <w:adjustRightInd/>
        <w:jc w:val="both"/>
        <w:rPr>
          <w:bCs/>
          <w:sz w:val="22"/>
          <w:szCs w:val="22"/>
        </w:rPr>
      </w:pPr>
      <w:r w:rsidRPr="00215A53">
        <w:rPr>
          <w:bCs/>
          <w:sz w:val="22"/>
          <w:szCs w:val="22"/>
          <w:highlight w:val="yellow"/>
        </w:rPr>
        <w:t>OR, if not included in a risk pool or group rating for WC, use the paragraph below:</w:t>
      </w:r>
    </w:p>
    <w:p w14:paraId="6DA928F8" w14:textId="77777777" w:rsidR="00F921CD" w:rsidRDefault="00F921CD" w:rsidP="00533678">
      <w:pPr>
        <w:widowControl/>
        <w:jc w:val="both"/>
        <w:rPr>
          <w:sz w:val="22"/>
          <w:szCs w:val="22"/>
        </w:rPr>
      </w:pPr>
    </w:p>
    <w:p w14:paraId="0D95AFD4" w14:textId="77777777" w:rsidR="0030481B" w:rsidRPr="00001561" w:rsidRDefault="0030481B" w:rsidP="00533678">
      <w:pPr>
        <w:widowControl/>
        <w:tabs>
          <w:tab w:val="left" w:pos="0"/>
          <w:tab w:val="left" w:pos="547"/>
          <w:tab w:val="left" w:pos="907"/>
          <w:tab w:val="left" w:pos="1440"/>
          <w:tab w:val="left" w:pos="1987"/>
          <w:tab w:val="right" w:pos="4950"/>
          <w:tab w:val="right" w:pos="6390"/>
          <w:tab w:val="right" w:pos="7830"/>
          <w:tab w:val="right" w:pos="9270"/>
        </w:tabs>
        <w:jc w:val="both"/>
        <w:rPr>
          <w:bCs/>
          <w:sz w:val="22"/>
          <w:szCs w:val="22"/>
        </w:rPr>
      </w:pPr>
      <w:r w:rsidRPr="00001561">
        <w:rPr>
          <w:bCs/>
          <w:sz w:val="22"/>
          <w:szCs w:val="22"/>
          <w:highlight w:val="green"/>
        </w:rPr>
        <w:t>Workers’ Compensation coverage is provided by the State of Ohio.  The</w:t>
      </w:r>
      <w:r w:rsidR="00260017">
        <w:rPr>
          <w:bCs/>
          <w:sz w:val="22"/>
          <w:szCs w:val="22"/>
          <w:highlight w:val="green"/>
        </w:rPr>
        <w:t xml:space="preserve"> Library</w:t>
      </w:r>
      <w:r w:rsidRPr="00001561">
        <w:rPr>
          <w:bCs/>
          <w:sz w:val="22"/>
          <w:szCs w:val="22"/>
          <w:highlight w:val="green"/>
        </w:rPr>
        <w:t xml:space="preserve"> pays the State Workers’ Compensation System a premium based on a rate per $100 of salaries.  This rate is calculated based on accident history and administrative costs.</w:t>
      </w:r>
    </w:p>
    <w:p w14:paraId="42871AA1" w14:textId="77777777" w:rsidR="00721A50" w:rsidRDefault="00721A50" w:rsidP="00533678">
      <w:pPr>
        <w:widowControl/>
        <w:jc w:val="both"/>
        <w:rPr>
          <w:sz w:val="22"/>
          <w:szCs w:val="22"/>
        </w:rPr>
      </w:pPr>
    </w:p>
    <w:p w14:paraId="54155852" w14:textId="3BB728CE" w:rsidR="00215A53" w:rsidRPr="00215A53" w:rsidRDefault="00215A53" w:rsidP="00533678">
      <w:pPr>
        <w:widowControl/>
        <w:autoSpaceDE/>
        <w:autoSpaceDN/>
        <w:adjustRightInd/>
        <w:jc w:val="both"/>
        <w:rPr>
          <w:sz w:val="22"/>
          <w:szCs w:val="22"/>
        </w:rPr>
      </w:pPr>
      <w:r w:rsidRPr="00215A53">
        <w:rPr>
          <w:sz w:val="22"/>
          <w:szCs w:val="22"/>
          <w:highlight w:val="green"/>
        </w:rPr>
        <w:t xml:space="preserve">The </w:t>
      </w:r>
      <w:r>
        <w:rPr>
          <w:sz w:val="22"/>
          <w:szCs w:val="22"/>
          <w:highlight w:val="green"/>
        </w:rPr>
        <w:t>Library</w:t>
      </w:r>
      <w:r w:rsidRPr="00215A53">
        <w:rPr>
          <w:sz w:val="22"/>
          <w:szCs w:val="22"/>
          <w:highlight w:val="green"/>
        </w:rPr>
        <w:t xml:space="preserve"> manages employee health benefits on a self-insured basis.  The employee health benefit plan provides basic health and dental coverage through ________, the </w:t>
      </w:r>
      <w:r w:rsidR="00AD2932" w:rsidRPr="00215A53">
        <w:rPr>
          <w:sz w:val="22"/>
          <w:szCs w:val="22"/>
          <w:highlight w:val="green"/>
        </w:rPr>
        <w:t>third-party</w:t>
      </w:r>
      <w:r w:rsidRPr="00215A53">
        <w:rPr>
          <w:sz w:val="22"/>
          <w:szCs w:val="22"/>
          <w:highlight w:val="green"/>
        </w:rPr>
        <w:t xml:space="preserve"> administrator (TPA) of the program, which reviews and pays the claims.  A specific excess loss coverage (stop-loss) insurance policy covers claims </w:t>
      </w:r>
      <w:proofErr w:type="gramStart"/>
      <w:r w:rsidRPr="00215A53">
        <w:rPr>
          <w:sz w:val="22"/>
          <w:szCs w:val="22"/>
          <w:highlight w:val="green"/>
        </w:rPr>
        <w:t>in excess of</w:t>
      </w:r>
      <w:proofErr w:type="gramEnd"/>
      <w:r w:rsidRPr="00215A53">
        <w:rPr>
          <w:sz w:val="22"/>
          <w:szCs w:val="22"/>
          <w:highlight w:val="green"/>
        </w:rPr>
        <w:t xml:space="preserve"> $________ per employee per year.  The family, employee plus one, and single premiums were $_____, $_______, and $_______ for medical and $______, $______, and $____ for dental, respectively.  The TPA charges the </w:t>
      </w:r>
      <w:r>
        <w:rPr>
          <w:sz w:val="22"/>
          <w:szCs w:val="22"/>
          <w:highlight w:val="green"/>
        </w:rPr>
        <w:t>Library</w:t>
      </w:r>
      <w:r w:rsidRPr="00215A53">
        <w:rPr>
          <w:sz w:val="22"/>
          <w:szCs w:val="22"/>
          <w:highlight w:val="green"/>
        </w:rPr>
        <w:t xml:space="preserve"> a medical administration fee of $____ per employee per month and a dental administration fee of $_____ per employee per month.</w:t>
      </w:r>
    </w:p>
    <w:p w14:paraId="51EA26B7" w14:textId="77777777" w:rsidR="00215A53" w:rsidRPr="00215A53" w:rsidRDefault="00215A53" w:rsidP="00533678">
      <w:pPr>
        <w:widowControl/>
        <w:autoSpaceDE/>
        <w:autoSpaceDN/>
        <w:adjustRightInd/>
        <w:jc w:val="both"/>
        <w:rPr>
          <w:sz w:val="22"/>
          <w:szCs w:val="22"/>
        </w:rPr>
      </w:pPr>
    </w:p>
    <w:p w14:paraId="1EDC2E06" w14:textId="77777777" w:rsidR="00215A53" w:rsidRPr="00215A53" w:rsidRDefault="00215A53" w:rsidP="00533678">
      <w:pPr>
        <w:widowControl/>
        <w:autoSpaceDE/>
        <w:autoSpaceDN/>
        <w:adjustRightInd/>
        <w:jc w:val="both"/>
        <w:rPr>
          <w:b/>
          <w:bCs/>
          <w:sz w:val="22"/>
          <w:szCs w:val="22"/>
          <w:highlight w:val="yellow"/>
        </w:rPr>
      </w:pPr>
      <w:r w:rsidRPr="00215A53">
        <w:rPr>
          <w:b/>
          <w:bCs/>
          <w:sz w:val="22"/>
          <w:szCs w:val="22"/>
          <w:highlight w:val="yellow"/>
        </w:rPr>
        <w:t>Self-Insurance Footnote Comments:</w:t>
      </w:r>
    </w:p>
    <w:p w14:paraId="7FDE5319" w14:textId="77777777" w:rsidR="00215A53" w:rsidRPr="00215A53" w:rsidRDefault="00215A53" w:rsidP="00533678">
      <w:pPr>
        <w:widowControl/>
        <w:autoSpaceDE/>
        <w:autoSpaceDN/>
        <w:adjustRightInd/>
        <w:jc w:val="both"/>
        <w:rPr>
          <w:b/>
          <w:bCs/>
          <w:sz w:val="22"/>
          <w:szCs w:val="22"/>
          <w:highlight w:val="yellow"/>
        </w:rPr>
      </w:pPr>
    </w:p>
    <w:p w14:paraId="0F26EBC2" w14:textId="77777777" w:rsidR="00215A53" w:rsidRDefault="00215A53" w:rsidP="00533678">
      <w:pPr>
        <w:widowControl/>
        <w:autoSpaceDE/>
        <w:autoSpaceDN/>
        <w:adjustRightInd/>
        <w:jc w:val="both"/>
        <w:rPr>
          <w:sz w:val="22"/>
          <w:szCs w:val="22"/>
          <w:highlight w:val="yellow"/>
        </w:rPr>
      </w:pPr>
      <w:r w:rsidRPr="00215A53">
        <w:rPr>
          <w:sz w:val="22"/>
          <w:szCs w:val="22"/>
          <w:highlight w:val="yellow"/>
        </w:rPr>
        <w:t xml:space="preserve">This example footnote will always require considerable modification.  </w:t>
      </w:r>
    </w:p>
    <w:p w14:paraId="632F26C0" w14:textId="77777777" w:rsidR="007F2C4D" w:rsidRPr="00215A53" w:rsidRDefault="007F2C4D" w:rsidP="00533678">
      <w:pPr>
        <w:widowControl/>
        <w:autoSpaceDE/>
        <w:autoSpaceDN/>
        <w:adjustRightInd/>
        <w:jc w:val="both"/>
        <w:rPr>
          <w:sz w:val="22"/>
          <w:szCs w:val="22"/>
          <w:highlight w:val="yellow"/>
        </w:rPr>
      </w:pPr>
    </w:p>
    <w:p w14:paraId="22EE7336" w14:textId="77777777" w:rsidR="00215A53" w:rsidRPr="00215A53" w:rsidRDefault="00215A53" w:rsidP="00533678">
      <w:pPr>
        <w:widowControl/>
        <w:autoSpaceDE/>
        <w:autoSpaceDN/>
        <w:adjustRightInd/>
        <w:jc w:val="both"/>
        <w:rPr>
          <w:sz w:val="22"/>
          <w:szCs w:val="22"/>
          <w:highlight w:val="yellow"/>
        </w:rPr>
      </w:pPr>
      <w:r w:rsidRPr="00215A53">
        <w:rPr>
          <w:sz w:val="22"/>
          <w:szCs w:val="22"/>
          <w:highlight w:val="yellow"/>
        </w:rPr>
        <w:t xml:space="preserve">The example also describes an entity that has joined a pool to </w:t>
      </w:r>
      <w:proofErr w:type="gramStart"/>
      <w:r w:rsidRPr="00215A53">
        <w:rPr>
          <w:sz w:val="22"/>
          <w:szCs w:val="22"/>
          <w:highlight w:val="yellow"/>
        </w:rPr>
        <w:t>insure</w:t>
      </w:r>
      <w:proofErr w:type="gramEnd"/>
      <w:r w:rsidRPr="00215A53">
        <w:rPr>
          <w:sz w:val="22"/>
          <w:szCs w:val="22"/>
          <w:highlight w:val="yellow"/>
        </w:rPr>
        <w:t xml:space="preserve"> liability risks and is self-insured for health insurance.  The opposite may apply, or some other combination may apply.  </w:t>
      </w:r>
    </w:p>
    <w:p w14:paraId="30C6A1D4" w14:textId="77777777" w:rsidR="00215A53" w:rsidRPr="00215A53" w:rsidRDefault="00215A53" w:rsidP="00533678">
      <w:pPr>
        <w:widowControl/>
        <w:autoSpaceDE/>
        <w:autoSpaceDN/>
        <w:adjustRightInd/>
        <w:jc w:val="both"/>
        <w:rPr>
          <w:sz w:val="22"/>
          <w:szCs w:val="22"/>
          <w:highlight w:val="yellow"/>
        </w:rPr>
      </w:pPr>
    </w:p>
    <w:p w14:paraId="4F3B193B" w14:textId="77777777" w:rsidR="00215A53" w:rsidRPr="00215A53" w:rsidRDefault="007F2C4D" w:rsidP="00533678">
      <w:pPr>
        <w:widowControl/>
        <w:autoSpaceDE/>
        <w:autoSpaceDN/>
        <w:adjustRightInd/>
        <w:jc w:val="both"/>
        <w:rPr>
          <w:b/>
          <w:bCs/>
          <w:sz w:val="22"/>
          <w:szCs w:val="22"/>
          <w:highlight w:val="yellow"/>
        </w:rPr>
      </w:pPr>
      <w:r>
        <w:rPr>
          <w:sz w:val="22"/>
          <w:szCs w:val="22"/>
          <w:highlight w:val="yellow"/>
        </w:rPr>
        <w:t>We</w:t>
      </w:r>
      <w:r w:rsidR="00215A53" w:rsidRPr="00215A53">
        <w:rPr>
          <w:sz w:val="22"/>
          <w:szCs w:val="22"/>
          <w:highlight w:val="yellow"/>
        </w:rPr>
        <w:t xml:space="preserve"> request you disclose if you have elected to forego liability insurance.  You would be considered uninsured when you have </w:t>
      </w:r>
      <w:r w:rsidR="00215A53" w:rsidRPr="00215A53">
        <w:rPr>
          <w:sz w:val="22"/>
          <w:szCs w:val="22"/>
          <w:highlight w:val="yellow"/>
          <w:u w:val="single"/>
        </w:rPr>
        <w:t>none</w:t>
      </w:r>
      <w:r w:rsidR="00215A53" w:rsidRPr="00215A53">
        <w:rPr>
          <w:sz w:val="22"/>
          <w:szCs w:val="22"/>
          <w:highlight w:val="yellow"/>
        </w:rPr>
        <w:t xml:space="preserve"> of the following:</w:t>
      </w:r>
    </w:p>
    <w:p w14:paraId="2943D6C2" w14:textId="77777777" w:rsidR="00215A53" w:rsidRPr="00215A53" w:rsidRDefault="00215A53" w:rsidP="00533678">
      <w:pPr>
        <w:widowControl/>
        <w:ind w:left="1260" w:hanging="360"/>
        <w:jc w:val="both"/>
        <w:rPr>
          <w:sz w:val="22"/>
          <w:szCs w:val="22"/>
          <w:highlight w:val="yellow"/>
        </w:rPr>
      </w:pPr>
      <w:r w:rsidRPr="00215A53">
        <w:rPr>
          <w:sz w:val="22"/>
          <w:szCs w:val="22"/>
          <w:highlight w:val="yellow"/>
        </w:rPr>
        <w:t>1.</w:t>
      </w:r>
      <w:r w:rsidRPr="00215A53">
        <w:rPr>
          <w:sz w:val="22"/>
          <w:szCs w:val="22"/>
          <w:highlight w:val="yellow"/>
        </w:rPr>
        <w:tab/>
        <w:t>Commercial insurance coverage</w:t>
      </w:r>
    </w:p>
    <w:p w14:paraId="2A92A0A7" w14:textId="77777777" w:rsidR="00215A53" w:rsidRPr="00215A53" w:rsidRDefault="00215A53" w:rsidP="00533678">
      <w:pPr>
        <w:widowControl/>
        <w:ind w:left="1260" w:hanging="360"/>
        <w:jc w:val="both"/>
        <w:rPr>
          <w:sz w:val="22"/>
          <w:szCs w:val="22"/>
          <w:highlight w:val="yellow"/>
        </w:rPr>
      </w:pPr>
      <w:r w:rsidRPr="00215A53">
        <w:rPr>
          <w:sz w:val="22"/>
          <w:szCs w:val="22"/>
          <w:highlight w:val="yellow"/>
        </w:rPr>
        <w:t>2.</w:t>
      </w:r>
      <w:r w:rsidRPr="00215A53">
        <w:rPr>
          <w:sz w:val="22"/>
          <w:szCs w:val="22"/>
          <w:highlight w:val="yellow"/>
        </w:rPr>
        <w:tab/>
        <w:t>A self-insurance fund</w:t>
      </w:r>
    </w:p>
    <w:p w14:paraId="5629E7C8" w14:textId="77777777" w:rsidR="00215A53" w:rsidRPr="00215A53" w:rsidRDefault="00215A53" w:rsidP="00533678">
      <w:pPr>
        <w:widowControl/>
        <w:ind w:left="1260" w:hanging="360"/>
        <w:jc w:val="both"/>
        <w:rPr>
          <w:sz w:val="22"/>
          <w:szCs w:val="22"/>
          <w:highlight w:val="yellow"/>
        </w:rPr>
      </w:pPr>
      <w:r w:rsidRPr="00215A53">
        <w:rPr>
          <w:sz w:val="22"/>
          <w:szCs w:val="22"/>
          <w:highlight w:val="yellow"/>
        </w:rPr>
        <w:t>3.</w:t>
      </w:r>
      <w:r w:rsidRPr="00215A53">
        <w:rPr>
          <w:sz w:val="22"/>
          <w:szCs w:val="22"/>
          <w:highlight w:val="yellow"/>
        </w:rPr>
        <w:tab/>
        <w:t>Fund equity reserved for self-insurance under 5705.13 (A) (2)</w:t>
      </w:r>
    </w:p>
    <w:p w14:paraId="20ADB794" w14:textId="77777777" w:rsidR="00215A53" w:rsidRPr="00215A53" w:rsidRDefault="00215A53" w:rsidP="00533678">
      <w:pPr>
        <w:widowControl/>
        <w:ind w:left="1260" w:hanging="360"/>
        <w:jc w:val="both"/>
        <w:rPr>
          <w:sz w:val="22"/>
          <w:szCs w:val="22"/>
          <w:highlight w:val="yellow"/>
        </w:rPr>
      </w:pPr>
      <w:r w:rsidRPr="00215A53">
        <w:rPr>
          <w:sz w:val="22"/>
          <w:szCs w:val="22"/>
          <w:highlight w:val="yellow"/>
        </w:rPr>
        <w:t>4.</w:t>
      </w:r>
      <w:r w:rsidRPr="00215A53">
        <w:rPr>
          <w:sz w:val="22"/>
          <w:szCs w:val="22"/>
          <w:highlight w:val="yellow"/>
        </w:rPr>
        <w:tab/>
        <w:t>Participates in a self-insurance pool</w:t>
      </w:r>
    </w:p>
    <w:p w14:paraId="43686D07" w14:textId="77777777" w:rsidR="00215A53" w:rsidRPr="00215A53" w:rsidRDefault="00215A53" w:rsidP="00533678">
      <w:pPr>
        <w:widowControl/>
        <w:ind w:left="1260" w:hanging="360"/>
        <w:jc w:val="both"/>
        <w:rPr>
          <w:sz w:val="22"/>
          <w:szCs w:val="22"/>
          <w:highlight w:val="yellow"/>
        </w:rPr>
      </w:pPr>
      <w:r w:rsidRPr="00215A53">
        <w:rPr>
          <w:sz w:val="22"/>
          <w:szCs w:val="22"/>
          <w:highlight w:val="yellow"/>
        </w:rPr>
        <w:t>5.</w:t>
      </w:r>
      <w:r w:rsidRPr="00215A53">
        <w:rPr>
          <w:sz w:val="22"/>
          <w:szCs w:val="22"/>
          <w:highlight w:val="yellow"/>
        </w:rPr>
        <w:tab/>
        <w:t>Annual appropriations for claims costs reasonably sufficient to cover those costs.</w:t>
      </w:r>
    </w:p>
    <w:p w14:paraId="182B6B3B" w14:textId="77777777" w:rsidR="00215A53" w:rsidRPr="00215A53" w:rsidRDefault="00215A53" w:rsidP="00533678">
      <w:pPr>
        <w:widowControl/>
        <w:jc w:val="both"/>
        <w:rPr>
          <w:sz w:val="22"/>
          <w:szCs w:val="22"/>
          <w:highlight w:val="yellow"/>
        </w:rPr>
      </w:pPr>
    </w:p>
    <w:p w14:paraId="54BD6710" w14:textId="77777777" w:rsidR="00215A53" w:rsidRPr="00215A53" w:rsidRDefault="00215A53" w:rsidP="00533678">
      <w:pPr>
        <w:widowControl/>
        <w:jc w:val="both"/>
        <w:rPr>
          <w:sz w:val="22"/>
          <w:szCs w:val="22"/>
          <w:highlight w:val="yellow"/>
        </w:rPr>
      </w:pPr>
      <w:r w:rsidRPr="00215A53">
        <w:rPr>
          <w:sz w:val="22"/>
          <w:szCs w:val="22"/>
          <w:highlight w:val="yellow"/>
        </w:rPr>
        <w:t xml:space="preserve">There is no requirement to disclose a lack of health insurance coverage.  Health insurance coverage is an employee benefit; failing to </w:t>
      </w:r>
      <w:proofErr w:type="gramStart"/>
      <w:r w:rsidRPr="00215A53">
        <w:rPr>
          <w:sz w:val="22"/>
          <w:szCs w:val="22"/>
          <w:highlight w:val="yellow"/>
        </w:rPr>
        <w:t>insure</w:t>
      </w:r>
      <w:proofErr w:type="gramEnd"/>
      <w:r w:rsidRPr="00215A53">
        <w:rPr>
          <w:sz w:val="22"/>
          <w:szCs w:val="22"/>
          <w:highlight w:val="yellow"/>
        </w:rPr>
        <w:t xml:space="preserve"> health coverage is a risk for employees, not a direct risk to a subdivision.  Conversely, you should disclose if you </w:t>
      </w:r>
      <w:r w:rsidRPr="00215A53">
        <w:rPr>
          <w:sz w:val="22"/>
          <w:szCs w:val="22"/>
          <w:highlight w:val="yellow"/>
          <w:u w:val="single"/>
        </w:rPr>
        <w:t>have</w:t>
      </w:r>
      <w:r w:rsidRPr="00215A53">
        <w:rPr>
          <w:sz w:val="22"/>
          <w:szCs w:val="22"/>
          <w:highlight w:val="yellow"/>
        </w:rPr>
        <w:t xml:space="preserve"> contractually agreed to cover employee health costs.  Such costs are often significant and therefore of interest to financial statement readers.</w:t>
      </w:r>
    </w:p>
    <w:p w14:paraId="0127A63C" w14:textId="77777777" w:rsidR="00215A53" w:rsidRPr="00215A53" w:rsidRDefault="00215A53" w:rsidP="00533678">
      <w:pPr>
        <w:widowControl/>
        <w:jc w:val="both"/>
        <w:rPr>
          <w:sz w:val="22"/>
          <w:szCs w:val="22"/>
          <w:highlight w:val="yellow"/>
        </w:rPr>
      </w:pPr>
    </w:p>
    <w:p w14:paraId="692101F8" w14:textId="6A27E498" w:rsidR="00215A53" w:rsidRPr="00215A53" w:rsidRDefault="00215A53" w:rsidP="00533678">
      <w:pPr>
        <w:widowControl/>
        <w:jc w:val="both"/>
        <w:rPr>
          <w:sz w:val="22"/>
          <w:szCs w:val="22"/>
          <w:highlight w:val="yellow"/>
        </w:rPr>
      </w:pPr>
      <w:r w:rsidRPr="00215A53">
        <w:rPr>
          <w:sz w:val="22"/>
          <w:szCs w:val="22"/>
          <w:highlight w:val="yellow"/>
        </w:rPr>
        <w:t xml:space="preserve">The two-year comparison of cash and investments vs. </w:t>
      </w:r>
      <w:r w:rsidR="00AD2932" w:rsidRPr="00215A53">
        <w:rPr>
          <w:sz w:val="22"/>
          <w:szCs w:val="22"/>
          <w:highlight w:val="yellow"/>
        </w:rPr>
        <w:t>actuarial liabilities</w:t>
      </w:r>
      <w:r w:rsidRPr="00215A53">
        <w:rPr>
          <w:sz w:val="22"/>
          <w:szCs w:val="22"/>
          <w:highlight w:val="yellow"/>
        </w:rPr>
        <w:t xml:space="preserve"> is a useful measurement of the adequacy of your funding methods / formulas.  A significant excess of liabilities over assets or a trend showing a deteriorating excess of assets should warn management and financial statement users that current funding methods / formulas may require modification.  In such instances, management must disclose plans to address the issue.    </w:t>
      </w:r>
    </w:p>
    <w:p w14:paraId="32556D73" w14:textId="77777777" w:rsidR="00215A53" w:rsidRPr="00215A53" w:rsidRDefault="00215A53" w:rsidP="00533678">
      <w:pPr>
        <w:widowControl/>
        <w:autoSpaceDE/>
        <w:autoSpaceDN/>
        <w:adjustRightInd/>
        <w:ind w:left="900" w:hanging="360"/>
        <w:jc w:val="both"/>
        <w:rPr>
          <w:sz w:val="22"/>
          <w:szCs w:val="22"/>
          <w:highlight w:val="yellow"/>
        </w:rPr>
      </w:pPr>
    </w:p>
    <w:p w14:paraId="1254985E" w14:textId="6A3104FD" w:rsidR="00215A53" w:rsidRPr="00215A53" w:rsidRDefault="00215A53" w:rsidP="00533678">
      <w:pPr>
        <w:widowControl/>
        <w:jc w:val="both"/>
        <w:rPr>
          <w:sz w:val="22"/>
          <w:szCs w:val="22"/>
          <w:highlight w:val="yellow"/>
        </w:rPr>
      </w:pPr>
      <w:r w:rsidRPr="00215A53">
        <w:rPr>
          <w:sz w:val="22"/>
          <w:szCs w:val="22"/>
          <w:highlight w:val="yellow"/>
        </w:rPr>
        <w:t>If the notes do not address management’s plans regarding a material deficiency of actuarial liabilities greater than related assets, your auditors will consider whether the disclosure is sufficient and whether a going concern contingency</w:t>
      </w:r>
      <w:r w:rsidR="00BC3C43">
        <w:rPr>
          <w:sz w:val="22"/>
          <w:szCs w:val="22"/>
          <w:highlight w:val="yellow"/>
        </w:rPr>
        <w:t xml:space="preserve">. </w:t>
      </w:r>
      <w:r w:rsidRPr="00215A53">
        <w:rPr>
          <w:sz w:val="22"/>
          <w:szCs w:val="22"/>
          <w:highlight w:val="yellow"/>
        </w:rPr>
        <w:t xml:space="preserve">For going concern, considerations see GASB Codification Section 2250 Starting at Paragraph </w:t>
      </w:r>
      <w:r w:rsidRPr="00436698">
        <w:rPr>
          <w:sz w:val="22"/>
          <w:szCs w:val="22"/>
          <w:highlight w:val="cyan"/>
        </w:rPr>
        <w:t>.11</w:t>
      </w:r>
      <w:r w:rsidR="004C465E" w:rsidRPr="00436698">
        <w:rPr>
          <w:sz w:val="22"/>
          <w:szCs w:val="22"/>
          <w:highlight w:val="cyan"/>
        </w:rPr>
        <w:t>8</w:t>
      </w:r>
      <w:r w:rsidRPr="00215A53">
        <w:rPr>
          <w:sz w:val="22"/>
          <w:szCs w:val="22"/>
          <w:highlight w:val="yellow"/>
        </w:rPr>
        <w:t>.</w:t>
      </w:r>
    </w:p>
    <w:p w14:paraId="5265FB7B" w14:textId="77777777" w:rsidR="00215A53" w:rsidRPr="00215A53" w:rsidRDefault="00215A53" w:rsidP="00533678">
      <w:pPr>
        <w:widowControl/>
        <w:autoSpaceDE/>
        <w:autoSpaceDN/>
        <w:adjustRightInd/>
        <w:ind w:left="900" w:hanging="360"/>
        <w:jc w:val="both"/>
        <w:rPr>
          <w:sz w:val="22"/>
          <w:szCs w:val="22"/>
          <w:highlight w:val="yellow"/>
        </w:rPr>
      </w:pPr>
    </w:p>
    <w:p w14:paraId="2D6D7367" w14:textId="77777777" w:rsidR="00215A53" w:rsidRPr="00215A53" w:rsidRDefault="00215A53" w:rsidP="00533678">
      <w:pPr>
        <w:widowControl/>
        <w:jc w:val="both"/>
        <w:rPr>
          <w:sz w:val="22"/>
          <w:szCs w:val="22"/>
          <w:highlight w:val="yellow"/>
        </w:rPr>
      </w:pPr>
      <w:r w:rsidRPr="00215A53">
        <w:rPr>
          <w:sz w:val="22"/>
          <w:szCs w:val="22"/>
          <w:highlight w:val="yellow"/>
        </w:rPr>
        <w:lastRenderedPageBreak/>
        <w:t xml:space="preserve">While the Auditor of State believes all subdivisions with significant self-insurance commitments should have an actuary measure the liability annually, the Revised Code does not require this for all subdivisions or all types of insurance (see Appendix 2 in Bulletin 2001-05).  If the Revised Code </w:t>
      </w:r>
      <w:r w:rsidRPr="00215A53">
        <w:rPr>
          <w:sz w:val="22"/>
          <w:szCs w:val="22"/>
          <w:highlight w:val="yellow"/>
          <w:u w:val="single"/>
        </w:rPr>
        <w:t>requires</w:t>
      </w:r>
      <w:r w:rsidRPr="00215A53">
        <w:rPr>
          <w:sz w:val="22"/>
          <w:szCs w:val="22"/>
          <w:highlight w:val="yellow"/>
        </w:rPr>
        <w:t xml:space="preserve"> the measurement, but you elect not to comply, you would be unable to prepare the comparison of assets with actuarial liabilities, and your auditors would need to consider (1) qualifying their financial statement opinions for an inadequate disclosure and (2) reporting a material noncompliance finding in the report on compliance and internal controls required by </w:t>
      </w:r>
      <w:r w:rsidRPr="00215A53">
        <w:rPr>
          <w:i/>
          <w:iCs/>
          <w:sz w:val="22"/>
          <w:szCs w:val="22"/>
          <w:highlight w:val="yellow"/>
        </w:rPr>
        <w:t>Government Auditing Standards.</w:t>
      </w:r>
    </w:p>
    <w:p w14:paraId="5AF10877" w14:textId="77777777" w:rsidR="00215A53" w:rsidRPr="00215A53" w:rsidRDefault="00215A53" w:rsidP="00533678">
      <w:pPr>
        <w:widowControl/>
        <w:autoSpaceDE/>
        <w:autoSpaceDN/>
        <w:adjustRightInd/>
        <w:ind w:left="900" w:hanging="360"/>
        <w:jc w:val="both"/>
        <w:rPr>
          <w:sz w:val="22"/>
          <w:szCs w:val="22"/>
          <w:highlight w:val="yellow"/>
        </w:rPr>
      </w:pPr>
    </w:p>
    <w:p w14:paraId="6BDE9319" w14:textId="77777777" w:rsidR="00215A53" w:rsidRPr="00215A53" w:rsidRDefault="00215A53" w:rsidP="00533678">
      <w:pPr>
        <w:widowControl/>
        <w:autoSpaceDE/>
        <w:autoSpaceDN/>
        <w:adjustRightInd/>
        <w:jc w:val="both"/>
        <w:rPr>
          <w:sz w:val="22"/>
          <w:szCs w:val="22"/>
          <w:highlight w:val="yellow"/>
        </w:rPr>
      </w:pPr>
      <w:r w:rsidRPr="00215A53">
        <w:rPr>
          <w:sz w:val="22"/>
          <w:szCs w:val="22"/>
          <w:highlight w:val="yellow"/>
        </w:rPr>
        <w:t xml:space="preserve">However, if the Revised Code does not require you to actuarially measure your liabilities, the lack of an actuarial disclosure would not affect auditors’ reports.  The disclosure could still describe the funding methods.  You should also disclose if you were unable to pay claims in a timely manner. </w:t>
      </w:r>
    </w:p>
    <w:p w14:paraId="54BE0610" w14:textId="77777777" w:rsidR="00215A53" w:rsidRPr="00215A53" w:rsidRDefault="00215A53" w:rsidP="00533678">
      <w:pPr>
        <w:widowControl/>
        <w:autoSpaceDE/>
        <w:autoSpaceDN/>
        <w:adjustRightInd/>
        <w:jc w:val="both"/>
        <w:rPr>
          <w:sz w:val="22"/>
          <w:szCs w:val="22"/>
        </w:rPr>
      </w:pPr>
    </w:p>
    <w:p w14:paraId="18FB87E1" w14:textId="77777777" w:rsidR="00CC68D8" w:rsidRDefault="00CC68D8" w:rsidP="00533678">
      <w:pPr>
        <w:widowControl/>
        <w:rPr>
          <w:b/>
          <w:bCs/>
          <w:sz w:val="24"/>
          <w:szCs w:val="24"/>
        </w:rPr>
      </w:pPr>
    </w:p>
    <w:p w14:paraId="04988414" w14:textId="77777777" w:rsidR="00073D74" w:rsidRDefault="00256ACA" w:rsidP="00533678">
      <w:pPr>
        <w:widowControl/>
        <w:rPr>
          <w:b/>
          <w:bCs/>
          <w:sz w:val="24"/>
          <w:szCs w:val="24"/>
        </w:rPr>
      </w:pPr>
      <w:r w:rsidRPr="005374C3">
        <w:rPr>
          <w:b/>
          <w:bCs/>
          <w:sz w:val="24"/>
          <w:szCs w:val="24"/>
        </w:rPr>
        <w:t xml:space="preserve">Note </w:t>
      </w:r>
      <w:r w:rsidR="00215A53">
        <w:rPr>
          <w:b/>
          <w:bCs/>
          <w:sz w:val="24"/>
          <w:szCs w:val="24"/>
        </w:rPr>
        <w:t>9</w:t>
      </w:r>
      <w:r w:rsidR="00073D74" w:rsidRPr="005374C3">
        <w:rPr>
          <w:b/>
          <w:bCs/>
          <w:sz w:val="24"/>
          <w:szCs w:val="24"/>
        </w:rPr>
        <w:t xml:space="preserve"> </w:t>
      </w:r>
      <w:r w:rsidR="004F4755" w:rsidRPr="005374C3">
        <w:rPr>
          <w:b/>
          <w:sz w:val="24"/>
          <w:szCs w:val="24"/>
        </w:rPr>
        <w:t>–</w:t>
      </w:r>
      <w:r w:rsidR="00073D74" w:rsidRPr="005374C3">
        <w:rPr>
          <w:b/>
          <w:bCs/>
          <w:sz w:val="24"/>
          <w:szCs w:val="24"/>
        </w:rPr>
        <w:t xml:space="preserve"> Defined Benefit Pension Pla</w:t>
      </w:r>
      <w:r w:rsidR="00F4452E">
        <w:rPr>
          <w:b/>
          <w:bCs/>
          <w:sz w:val="24"/>
          <w:szCs w:val="24"/>
        </w:rPr>
        <w:t>n</w:t>
      </w:r>
    </w:p>
    <w:p w14:paraId="6A0FB5BA" w14:textId="77777777" w:rsidR="00F4452E" w:rsidRDefault="00F4452E" w:rsidP="00533678">
      <w:pPr>
        <w:widowControl/>
        <w:rPr>
          <w:b/>
          <w:bCs/>
          <w:sz w:val="24"/>
          <w:szCs w:val="24"/>
        </w:rPr>
      </w:pPr>
    </w:p>
    <w:p w14:paraId="77BB7ED4" w14:textId="77777777" w:rsidR="00F4452E" w:rsidRPr="00F4452E" w:rsidRDefault="00F4452E" w:rsidP="00533678">
      <w:pPr>
        <w:widowControl/>
        <w:rPr>
          <w:b/>
          <w:bCs/>
          <w:sz w:val="22"/>
          <w:szCs w:val="22"/>
        </w:rPr>
      </w:pPr>
      <w:r w:rsidRPr="00F4452E">
        <w:rPr>
          <w:b/>
          <w:sz w:val="22"/>
          <w:szCs w:val="22"/>
          <w:highlight w:val="yellow"/>
        </w:rPr>
        <w:t>Refer to the employer notices from the pension systems for the most updated pension disclosures.</w:t>
      </w:r>
    </w:p>
    <w:p w14:paraId="6EFD782F" w14:textId="17C0226C" w:rsidR="00356A7F" w:rsidRDefault="00356A7F" w:rsidP="00533678">
      <w:pPr>
        <w:widowControl/>
        <w:rPr>
          <w:b/>
          <w:bCs/>
          <w:sz w:val="24"/>
          <w:szCs w:val="24"/>
        </w:rPr>
      </w:pPr>
    </w:p>
    <w:p w14:paraId="76F58559" w14:textId="77777777" w:rsidR="00807281" w:rsidRPr="00807281" w:rsidRDefault="00807281" w:rsidP="00807281">
      <w:pPr>
        <w:widowControl/>
        <w:tabs>
          <w:tab w:val="left" w:pos="-1180"/>
          <w:tab w:val="left" w:pos="-720"/>
          <w:tab w:val="left" w:pos="0"/>
          <w:tab w:val="left" w:pos="480"/>
          <w:tab w:val="right" w:pos="6192"/>
          <w:tab w:val="right" w:pos="7830"/>
          <w:tab w:val="left" w:pos="8910"/>
        </w:tabs>
        <w:autoSpaceDE/>
        <w:autoSpaceDN/>
        <w:adjustRightInd/>
        <w:spacing w:line="236" w:lineRule="auto"/>
        <w:jc w:val="both"/>
        <w:rPr>
          <w:sz w:val="22"/>
          <w:szCs w:val="22"/>
        </w:rPr>
      </w:pPr>
      <w:r w:rsidRPr="005A28CD">
        <w:rPr>
          <w:sz w:val="22"/>
          <w:szCs w:val="22"/>
        </w:rPr>
        <w:t>The Statewide retirement systems provide both pension benefits and other postemployment benefits (OPEB).</w:t>
      </w:r>
    </w:p>
    <w:p w14:paraId="5EEE4C64" w14:textId="77777777" w:rsidR="00807281" w:rsidRDefault="00807281" w:rsidP="00533678">
      <w:pPr>
        <w:widowControl/>
        <w:rPr>
          <w:b/>
          <w:bCs/>
          <w:sz w:val="24"/>
          <w:szCs w:val="24"/>
        </w:rPr>
      </w:pPr>
    </w:p>
    <w:p w14:paraId="0CF895F1" w14:textId="77777777" w:rsidR="00215A53" w:rsidRPr="00215A53" w:rsidRDefault="00215A53" w:rsidP="00533678">
      <w:pPr>
        <w:widowControl/>
        <w:tabs>
          <w:tab w:val="left" w:pos="-1180"/>
          <w:tab w:val="left" w:pos="-720"/>
          <w:tab w:val="left" w:pos="0"/>
          <w:tab w:val="left" w:pos="480"/>
          <w:tab w:val="right" w:pos="6192"/>
          <w:tab w:val="right" w:pos="7830"/>
          <w:tab w:val="left" w:pos="8910"/>
        </w:tabs>
        <w:autoSpaceDE/>
        <w:autoSpaceDN/>
        <w:adjustRightInd/>
        <w:spacing w:line="236" w:lineRule="auto"/>
        <w:jc w:val="both"/>
        <w:rPr>
          <w:b/>
          <w:bCs/>
          <w:i/>
          <w:sz w:val="22"/>
          <w:szCs w:val="22"/>
        </w:rPr>
      </w:pPr>
      <w:r w:rsidRPr="00215A53">
        <w:rPr>
          <w:b/>
          <w:bCs/>
          <w:i/>
          <w:sz w:val="22"/>
          <w:szCs w:val="22"/>
        </w:rPr>
        <w:t>Plan Description – Ohio Public Employees Retirement System (OPERS)</w:t>
      </w:r>
    </w:p>
    <w:p w14:paraId="379D0390" w14:textId="77777777" w:rsidR="00215A53" w:rsidRPr="00215A53" w:rsidRDefault="00215A53" w:rsidP="00533678">
      <w:pPr>
        <w:widowControl/>
        <w:tabs>
          <w:tab w:val="left" w:pos="-1180"/>
          <w:tab w:val="left" w:pos="-720"/>
          <w:tab w:val="left" w:pos="0"/>
          <w:tab w:val="left" w:pos="480"/>
          <w:tab w:val="right" w:pos="6192"/>
          <w:tab w:val="right" w:pos="7830"/>
          <w:tab w:val="left" w:pos="8910"/>
        </w:tabs>
        <w:autoSpaceDE/>
        <w:autoSpaceDN/>
        <w:adjustRightInd/>
        <w:spacing w:line="236" w:lineRule="auto"/>
        <w:jc w:val="both"/>
        <w:rPr>
          <w:b/>
          <w:bCs/>
          <w:i/>
          <w:sz w:val="22"/>
          <w:szCs w:val="22"/>
        </w:rPr>
      </w:pPr>
    </w:p>
    <w:p w14:paraId="1D9E69F4" w14:textId="77777777" w:rsidR="00215A53" w:rsidRPr="00215A53" w:rsidRDefault="00215A53" w:rsidP="00533678">
      <w:pPr>
        <w:widowControl/>
        <w:autoSpaceDE/>
        <w:autoSpaceDN/>
        <w:adjustRightInd/>
        <w:jc w:val="both"/>
        <w:rPr>
          <w:b/>
          <w:bCs/>
          <w:sz w:val="22"/>
          <w:szCs w:val="22"/>
        </w:rPr>
      </w:pPr>
      <w:r w:rsidRPr="00215A53">
        <w:rPr>
          <w:b/>
          <w:bCs/>
          <w:sz w:val="22"/>
          <w:szCs w:val="22"/>
          <w:highlight w:val="yellow"/>
        </w:rPr>
        <w:t xml:space="preserve">Note:  This shell includes state and local division, public safety division and law enforcement division.  The note should be customized to include only the divisions in which your local government participates.  </w:t>
      </w:r>
    </w:p>
    <w:p w14:paraId="615389C9" w14:textId="77777777" w:rsidR="00215A53" w:rsidRPr="00215A53" w:rsidRDefault="00215A53" w:rsidP="00533678">
      <w:pPr>
        <w:widowControl/>
        <w:autoSpaceDE/>
        <w:autoSpaceDN/>
        <w:adjustRightInd/>
        <w:jc w:val="both"/>
        <w:rPr>
          <w:b/>
          <w:bCs/>
          <w:sz w:val="22"/>
          <w:szCs w:val="22"/>
        </w:rPr>
      </w:pPr>
    </w:p>
    <w:p w14:paraId="5CD9BD2F" w14:textId="77777777" w:rsidR="00215A53" w:rsidRPr="00215A53" w:rsidRDefault="00215A53" w:rsidP="00533678">
      <w:pPr>
        <w:widowControl/>
        <w:jc w:val="both"/>
        <w:rPr>
          <w:b/>
          <w:bCs/>
          <w:sz w:val="22"/>
          <w:szCs w:val="22"/>
        </w:rPr>
      </w:pPr>
      <w:r w:rsidRPr="00215A53">
        <w:rPr>
          <w:b/>
          <w:bCs/>
          <w:sz w:val="22"/>
          <w:szCs w:val="22"/>
          <w:highlight w:val="yellow"/>
        </w:rPr>
        <w:t>The OPERS portion of the note presents infor</w:t>
      </w:r>
      <w:r w:rsidR="004F4755">
        <w:rPr>
          <w:b/>
          <w:bCs/>
          <w:sz w:val="22"/>
          <w:szCs w:val="22"/>
          <w:highlight w:val="yellow"/>
        </w:rPr>
        <w:t xml:space="preserve">mation for the traditional plan, combined plan and member-directed plan; if the combined plan and </w:t>
      </w:r>
      <w:r w:rsidRPr="00215A53">
        <w:rPr>
          <w:b/>
          <w:bCs/>
          <w:sz w:val="22"/>
          <w:szCs w:val="22"/>
          <w:highlight w:val="yellow"/>
        </w:rPr>
        <w:t xml:space="preserve">member-directed plan </w:t>
      </w:r>
      <w:r w:rsidR="004F4755">
        <w:rPr>
          <w:b/>
          <w:bCs/>
          <w:sz w:val="22"/>
          <w:szCs w:val="22"/>
          <w:highlight w:val="yellow"/>
        </w:rPr>
        <w:t>are immaterial, they may be deleted</w:t>
      </w:r>
      <w:r w:rsidRPr="00215A53">
        <w:rPr>
          <w:b/>
          <w:bCs/>
          <w:sz w:val="22"/>
          <w:szCs w:val="22"/>
          <w:highlight w:val="yellow"/>
        </w:rPr>
        <w:t>.</w:t>
      </w:r>
      <w:r w:rsidRPr="00215A53">
        <w:rPr>
          <w:b/>
          <w:bCs/>
          <w:sz w:val="22"/>
          <w:szCs w:val="22"/>
        </w:rPr>
        <w:t xml:space="preserve"> </w:t>
      </w:r>
    </w:p>
    <w:p w14:paraId="283B93C2" w14:textId="77777777" w:rsidR="00215A53" w:rsidRPr="00215A53" w:rsidRDefault="00215A53" w:rsidP="00533678">
      <w:pPr>
        <w:widowControl/>
        <w:tabs>
          <w:tab w:val="left" w:pos="-1180"/>
          <w:tab w:val="left" w:pos="-720"/>
          <w:tab w:val="left" w:pos="0"/>
          <w:tab w:val="left" w:pos="480"/>
          <w:tab w:val="right" w:pos="6192"/>
          <w:tab w:val="right" w:pos="7830"/>
          <w:tab w:val="left" w:pos="8910"/>
        </w:tabs>
        <w:autoSpaceDE/>
        <w:autoSpaceDN/>
        <w:adjustRightInd/>
        <w:spacing w:line="236" w:lineRule="auto"/>
        <w:jc w:val="both"/>
        <w:rPr>
          <w:b/>
          <w:i/>
          <w:sz w:val="22"/>
          <w:szCs w:val="22"/>
        </w:rPr>
      </w:pPr>
    </w:p>
    <w:p w14:paraId="108269CF" w14:textId="0D2E2BB5" w:rsidR="00807281" w:rsidRPr="00807281" w:rsidRDefault="00215A53" w:rsidP="00807281">
      <w:pPr>
        <w:jc w:val="both"/>
        <w:rPr>
          <w:strike/>
          <w:sz w:val="22"/>
          <w:szCs w:val="22"/>
        </w:rPr>
      </w:pPr>
      <w:r w:rsidRPr="005967DC">
        <w:rPr>
          <w:sz w:val="22"/>
          <w:szCs w:val="22"/>
        </w:rPr>
        <w:t xml:space="preserve">Plan Description – </w:t>
      </w:r>
      <w:r w:rsidR="00957DA9" w:rsidRPr="005967DC">
        <w:rPr>
          <w:sz w:val="22"/>
          <w:szCs w:val="22"/>
        </w:rPr>
        <w:t>Library</w:t>
      </w:r>
      <w:r w:rsidRPr="005967DC">
        <w:rPr>
          <w:sz w:val="22"/>
          <w:szCs w:val="22"/>
        </w:rPr>
        <w:t xml:space="preserve"> employees, other than </w:t>
      </w:r>
      <w:r w:rsidR="004F4755" w:rsidRPr="0020313B">
        <w:rPr>
          <w:sz w:val="22"/>
          <w:szCs w:val="22"/>
          <w:highlight w:val="yellow"/>
        </w:rPr>
        <w:t>_____________</w:t>
      </w:r>
      <w:r w:rsidRPr="0020313B">
        <w:rPr>
          <w:sz w:val="22"/>
          <w:szCs w:val="22"/>
          <w:highlight w:val="yellow"/>
        </w:rPr>
        <w:t>,</w:t>
      </w:r>
      <w:r w:rsidRPr="005967DC">
        <w:rPr>
          <w:sz w:val="22"/>
          <w:szCs w:val="22"/>
        </w:rPr>
        <w:t xml:space="preserve"> participate in the Ohio Public Employees Retirement System (OPERS).  </w:t>
      </w:r>
      <w:r w:rsidR="00807281" w:rsidRPr="009E6C52">
        <w:rPr>
          <w:sz w:val="22"/>
          <w:szCs w:val="22"/>
        </w:rPr>
        <w:t>OPERS is a cost-sharing, multiple employer public employee retirement system which administers three separate pension plans.</w:t>
      </w:r>
      <w:r w:rsidR="00807281" w:rsidRPr="00807281">
        <w:rPr>
          <w:sz w:val="22"/>
          <w:szCs w:val="22"/>
        </w:rPr>
        <w:t xml:space="preserve">  The traditional pension plan is a cost-sharing, multiple-employer defined benefit pension plan</w:t>
      </w:r>
      <w:r w:rsidR="009E6C52">
        <w:rPr>
          <w:sz w:val="22"/>
          <w:szCs w:val="22"/>
        </w:rPr>
        <w:t xml:space="preserve">.  </w:t>
      </w:r>
      <w:r w:rsidR="00807281" w:rsidRPr="00807281">
        <w:rPr>
          <w:sz w:val="22"/>
          <w:szCs w:val="22"/>
        </w:rPr>
        <w:t xml:space="preserve">The member-directed plan is a defined contribution </w:t>
      </w:r>
      <w:proofErr w:type="gramStart"/>
      <w:r w:rsidR="00807281" w:rsidRPr="00807281">
        <w:rPr>
          <w:sz w:val="22"/>
          <w:szCs w:val="22"/>
        </w:rPr>
        <w:t>plan</w:t>
      </w:r>
      <w:proofErr w:type="gramEnd"/>
      <w:r w:rsidR="00807281" w:rsidRPr="00807281">
        <w:rPr>
          <w:sz w:val="22"/>
          <w:szCs w:val="22"/>
        </w:rPr>
        <w:t xml:space="preserve"> and the combined plan is a combination cost-sharing, multiple-employer defined benefit/defined contribution pension plan</w:t>
      </w:r>
      <w:r w:rsidR="00807281" w:rsidRPr="002521F0">
        <w:rPr>
          <w:sz w:val="22"/>
          <w:szCs w:val="22"/>
        </w:rPr>
        <w:t xml:space="preserve">.  </w:t>
      </w:r>
      <w:r w:rsidR="002521F0" w:rsidRPr="002521F0">
        <w:rPr>
          <w:sz w:val="22"/>
          <w:szCs w:val="22"/>
        </w:rPr>
        <w:t>E</w:t>
      </w:r>
      <w:r w:rsidR="002521F0" w:rsidRPr="007D6FCF">
        <w:rPr>
          <w:bCs/>
          <w:sz w:val="22"/>
          <w:szCs w:val="22"/>
        </w:rPr>
        <w:t xml:space="preserve">ffective January 1, 2022, new members may no longer select the Combined Plan, and current members may no longer </w:t>
      </w:r>
      <w:proofErr w:type="gramStart"/>
      <w:r w:rsidR="002521F0" w:rsidRPr="007D6FCF">
        <w:rPr>
          <w:bCs/>
          <w:sz w:val="22"/>
          <w:szCs w:val="22"/>
        </w:rPr>
        <w:t>make a plan</w:t>
      </w:r>
      <w:proofErr w:type="gramEnd"/>
      <w:r w:rsidR="002521F0" w:rsidRPr="007D6FCF">
        <w:rPr>
          <w:bCs/>
          <w:sz w:val="22"/>
          <w:szCs w:val="22"/>
        </w:rPr>
        <w:t xml:space="preserve"> change to this plan.</w:t>
      </w:r>
      <w:r w:rsidR="002521F0">
        <w:rPr>
          <w:bCs/>
          <w:sz w:val="22"/>
          <w:szCs w:val="22"/>
        </w:rPr>
        <w:t xml:space="preserve"> </w:t>
      </w:r>
      <w:r w:rsidR="00807281" w:rsidRPr="00807281">
        <w:rPr>
          <w:sz w:val="22"/>
          <w:szCs w:val="22"/>
        </w:rPr>
        <w:t>Participating employers are divided into state, local, law enforcement and public safety divisions.  While members in the state and local divisions may participate in all three plans, law enforcement and public safety divisions exist only within the traditional plan.</w:t>
      </w:r>
      <w:r w:rsidR="00EE48F0">
        <w:rPr>
          <w:sz w:val="22"/>
          <w:szCs w:val="22"/>
        </w:rPr>
        <w:t xml:space="preserve"> </w:t>
      </w:r>
      <w:r w:rsidR="00EE48F0" w:rsidRPr="00C105D7">
        <w:rPr>
          <w:sz w:val="22"/>
          <w:szCs w:val="22"/>
          <w:highlight w:val="yellow"/>
        </w:rPr>
        <w:t>(These last two sentences can be edited as needed.)</w:t>
      </w:r>
    </w:p>
    <w:p w14:paraId="7621DEDF" w14:textId="77777777" w:rsidR="00807281" w:rsidRPr="00807281" w:rsidRDefault="00807281" w:rsidP="00807281">
      <w:pPr>
        <w:widowControl/>
        <w:autoSpaceDE/>
        <w:autoSpaceDN/>
        <w:adjustRightInd/>
        <w:jc w:val="both"/>
        <w:rPr>
          <w:sz w:val="22"/>
          <w:szCs w:val="22"/>
        </w:rPr>
      </w:pPr>
    </w:p>
    <w:p w14:paraId="0C700574" w14:textId="77777777" w:rsidR="00807281" w:rsidRPr="00807281" w:rsidRDefault="00807281" w:rsidP="00807281">
      <w:pPr>
        <w:widowControl/>
        <w:autoSpaceDE/>
        <w:autoSpaceDN/>
        <w:adjustRightInd/>
        <w:jc w:val="both"/>
        <w:rPr>
          <w:sz w:val="22"/>
          <w:szCs w:val="22"/>
        </w:rPr>
      </w:pPr>
      <w:bookmarkStart w:id="161" w:name="_Hlk121750031"/>
      <w:r w:rsidRPr="00807281">
        <w:rPr>
          <w:sz w:val="22"/>
          <w:szCs w:val="22"/>
        </w:rPr>
        <w:t xml:space="preserve">OPERS provides retirement, disability, survivor and death benefits, and annual cost of living adjustments to members of the traditional and combined plans.  Authority to establish and amend benefits is provided by Chapter 145 of the Ohio Revised Code.  OPERS issues a stand-alone financial report that includes financial statements, required supplementary information and detailed information about OPERS’ fiduciary net position that may be obtained by visiting </w:t>
      </w:r>
      <w:hyperlink r:id="rId32" w:history="1">
        <w:r w:rsidRPr="00807281">
          <w:rPr>
            <w:color w:val="0000FF"/>
            <w:sz w:val="22"/>
            <w:szCs w:val="22"/>
            <w:u w:val="single"/>
          </w:rPr>
          <w:t>https://www.opers.org/financial/reports.shtml</w:t>
        </w:r>
      </w:hyperlink>
      <w:r w:rsidRPr="00807281">
        <w:rPr>
          <w:sz w:val="22"/>
          <w:szCs w:val="22"/>
        </w:rPr>
        <w:t>, by writing to the Ohio Public Employees Retirement System, 277 East Town Street, Columbus, Ohio 43215-4642, or by calling 800-222-7377.</w:t>
      </w:r>
    </w:p>
    <w:bookmarkEnd w:id="161"/>
    <w:p w14:paraId="408DF11B" w14:textId="77777777" w:rsidR="00807281" w:rsidRPr="00807281" w:rsidRDefault="00807281" w:rsidP="00807281">
      <w:pPr>
        <w:widowControl/>
        <w:autoSpaceDE/>
        <w:autoSpaceDN/>
        <w:adjustRightInd/>
        <w:jc w:val="both"/>
        <w:rPr>
          <w:sz w:val="22"/>
          <w:szCs w:val="22"/>
        </w:rPr>
      </w:pPr>
    </w:p>
    <w:p w14:paraId="19572B58" w14:textId="70D10F77" w:rsidR="00807281" w:rsidRPr="00807281" w:rsidRDefault="00807281" w:rsidP="00807281">
      <w:pPr>
        <w:widowControl/>
        <w:autoSpaceDE/>
        <w:autoSpaceDN/>
        <w:adjustRightInd/>
        <w:jc w:val="both"/>
        <w:rPr>
          <w:sz w:val="22"/>
          <w:szCs w:val="22"/>
        </w:rPr>
      </w:pPr>
      <w:bookmarkStart w:id="162" w:name="_Hlk121750059"/>
      <w:r w:rsidRPr="00807281">
        <w:rPr>
          <w:sz w:val="22"/>
          <w:szCs w:val="22"/>
        </w:rPr>
        <w:t xml:space="preserve">Senate Bill (SB) 343 was enacted into law with an effective date of January 7, 2013. In the legislation, members in the traditional and combined plans were categorized into three groups with varying provisions of the law </w:t>
      </w:r>
      <w:r w:rsidRPr="00807281">
        <w:rPr>
          <w:sz w:val="22"/>
          <w:szCs w:val="22"/>
        </w:rPr>
        <w:lastRenderedPageBreak/>
        <w:t>applicable to each group.  The following table provides age and service requirements for retirement and the retirement formula applied to final average salary (FAS) for the three member groups under the traditional and combined plans as per the reduced benefits adopted by SB 343 (see OPERS Annual Comprehensive Financial Report referenced above for additional information, including requirements for reduced and unreduced benefits):</w:t>
      </w:r>
      <w:bookmarkEnd w:id="162"/>
    </w:p>
    <w:p w14:paraId="40269D45" w14:textId="77777777" w:rsidR="00807281" w:rsidRPr="00807281" w:rsidRDefault="00807281" w:rsidP="00807281">
      <w:pPr>
        <w:widowControl/>
        <w:autoSpaceDE/>
        <w:autoSpaceDN/>
        <w:adjustRightInd/>
        <w:jc w:val="both"/>
        <w:rPr>
          <w:sz w:val="22"/>
          <w:szCs w:val="22"/>
        </w:rPr>
      </w:pPr>
    </w:p>
    <w:p w14:paraId="246C32CA" w14:textId="41C12085" w:rsidR="00807281" w:rsidRPr="00807281" w:rsidRDefault="00AD2932" w:rsidP="00807281">
      <w:pPr>
        <w:widowControl/>
        <w:autoSpaceDE/>
        <w:autoSpaceDN/>
        <w:adjustRightInd/>
        <w:ind w:right="-1440" w:hanging="1440"/>
        <w:jc w:val="center"/>
        <w:rPr>
          <w:sz w:val="22"/>
          <w:szCs w:val="22"/>
        </w:rPr>
      </w:pPr>
      <w:r w:rsidRPr="00807281">
        <w:rPr>
          <w:sz w:val="22"/>
          <w:szCs w:val="22"/>
        </w:rPr>
        <w:object w:dxaOrig="9912" w:dyaOrig="7745" w14:anchorId="40845278">
          <v:shape id="_x0000_i1034" type="#_x0000_t75" style="width:465.6pt;height:387.6pt" o:ole="">
            <v:imagedata r:id="rId33" o:title=""/>
          </v:shape>
          <o:OLEObject Type="Embed" ProgID="Excel.Sheet.12" ShapeID="_x0000_i1034" DrawAspect="Content" ObjectID="_1798480936" r:id="rId34"/>
        </w:object>
      </w:r>
    </w:p>
    <w:p w14:paraId="65E5373D" w14:textId="77777777" w:rsidR="00807281" w:rsidRPr="00807281" w:rsidRDefault="00807281" w:rsidP="00807281">
      <w:pPr>
        <w:widowControl/>
        <w:autoSpaceDE/>
        <w:autoSpaceDN/>
        <w:adjustRightInd/>
        <w:jc w:val="both"/>
        <w:rPr>
          <w:sz w:val="22"/>
          <w:szCs w:val="22"/>
        </w:rPr>
      </w:pPr>
    </w:p>
    <w:p w14:paraId="0192688A" w14:textId="77777777" w:rsidR="00E40514" w:rsidRPr="0027176A" w:rsidRDefault="00E40514" w:rsidP="00E40514">
      <w:pPr>
        <w:jc w:val="both"/>
        <w:rPr>
          <w:sz w:val="22"/>
          <w:szCs w:val="22"/>
          <w:highlight w:val="cyan"/>
        </w:rPr>
      </w:pPr>
      <w:bookmarkStart w:id="163" w:name="_Hlk121750080"/>
      <w:r w:rsidRPr="0027176A">
        <w:rPr>
          <w:sz w:val="22"/>
          <w:szCs w:val="22"/>
          <w:highlight w:val="cyan"/>
        </w:rPr>
        <w:t>Traditional plan state and local members who retire before meeting the age-and-years of service credit requirement for unreduced benefits receive a percentage reduction in the benefit amount. The amount of a member’s pension benefit vests at retirement.</w:t>
      </w:r>
    </w:p>
    <w:p w14:paraId="68C12DCD" w14:textId="77777777" w:rsidR="00E40514" w:rsidRPr="0027176A" w:rsidRDefault="00E40514" w:rsidP="00E40514">
      <w:pPr>
        <w:jc w:val="both"/>
        <w:rPr>
          <w:sz w:val="22"/>
          <w:szCs w:val="22"/>
          <w:highlight w:val="cyan"/>
        </w:rPr>
      </w:pPr>
    </w:p>
    <w:p w14:paraId="5607101A" w14:textId="77777777" w:rsidR="00E40514" w:rsidRPr="0027176A" w:rsidRDefault="00E40514" w:rsidP="00E40514">
      <w:pPr>
        <w:jc w:val="both"/>
        <w:rPr>
          <w:sz w:val="22"/>
          <w:szCs w:val="22"/>
          <w:highlight w:val="cyan"/>
        </w:rPr>
      </w:pPr>
      <w:r w:rsidRPr="0027176A">
        <w:rPr>
          <w:sz w:val="22"/>
          <w:szCs w:val="22"/>
          <w:highlight w:val="cyan"/>
        </w:rPr>
        <w:t>Law enforcement and public safety members</w:t>
      </w:r>
      <w:r w:rsidRPr="0027176A">
        <w:rPr>
          <w:highlight w:val="cyan"/>
        </w:rPr>
        <w:t xml:space="preserve"> </w:t>
      </w:r>
      <w:r w:rsidRPr="0027176A">
        <w:rPr>
          <w:sz w:val="22"/>
          <w:szCs w:val="22"/>
          <w:highlight w:val="cyan"/>
        </w:rPr>
        <w:t>who retire before meeting the age-and-years of service credit requirement for unreduced benefits receive a percentage reduction in the benefit amount.</w:t>
      </w:r>
    </w:p>
    <w:p w14:paraId="6E27A283" w14:textId="20724338" w:rsidR="00E40514" w:rsidRDefault="00E40514" w:rsidP="00E40514">
      <w:pPr>
        <w:widowControl/>
        <w:autoSpaceDE/>
        <w:autoSpaceDN/>
        <w:adjustRightInd/>
        <w:jc w:val="both"/>
        <w:rPr>
          <w:sz w:val="22"/>
          <w:szCs w:val="22"/>
        </w:rPr>
      </w:pPr>
      <w:r w:rsidRPr="0027176A">
        <w:rPr>
          <w:sz w:val="22"/>
          <w:szCs w:val="22"/>
          <w:highlight w:val="cyan"/>
        </w:rPr>
        <w:t>Combined plan members retiring before age 65 with less than 30 years of service credit receive a percentage reduction in benefit.</w:t>
      </w:r>
    </w:p>
    <w:p w14:paraId="456348AF" w14:textId="77777777" w:rsidR="00E40514" w:rsidRDefault="00E40514" w:rsidP="00E40514">
      <w:pPr>
        <w:widowControl/>
        <w:autoSpaceDE/>
        <w:autoSpaceDN/>
        <w:adjustRightInd/>
        <w:jc w:val="both"/>
        <w:rPr>
          <w:sz w:val="22"/>
          <w:szCs w:val="22"/>
        </w:rPr>
      </w:pPr>
    </w:p>
    <w:p w14:paraId="476A277F" w14:textId="77777777" w:rsidR="00851EF7" w:rsidRPr="00E800F3" w:rsidRDefault="00807281" w:rsidP="00807281">
      <w:pPr>
        <w:widowControl/>
        <w:autoSpaceDE/>
        <w:autoSpaceDN/>
        <w:adjustRightInd/>
        <w:jc w:val="both"/>
        <w:rPr>
          <w:strike/>
          <w:sz w:val="22"/>
          <w:szCs w:val="22"/>
          <w:highlight w:val="cyan"/>
        </w:rPr>
      </w:pPr>
      <w:r w:rsidRPr="00807281">
        <w:rPr>
          <w:sz w:val="22"/>
          <w:szCs w:val="22"/>
        </w:rPr>
        <w:t xml:space="preserve">Final average Salary (FAS) represents the average of the three highest years of earnings over a member’s career for Groups A and B.  Group C is based on the average of the five highest years of earnings over a member’s </w:t>
      </w:r>
      <w:r w:rsidRPr="00807281">
        <w:rPr>
          <w:sz w:val="22"/>
          <w:szCs w:val="22"/>
        </w:rPr>
        <w:lastRenderedPageBreak/>
        <w:t>career.</w:t>
      </w:r>
      <w:bookmarkStart w:id="164" w:name="_Hlk121750084"/>
      <w:bookmarkEnd w:id="163"/>
      <w:r w:rsidR="00851EF7">
        <w:rPr>
          <w:sz w:val="22"/>
          <w:szCs w:val="22"/>
        </w:rPr>
        <w:t xml:space="preserve"> </w:t>
      </w:r>
      <w:r w:rsidRPr="00E800F3">
        <w:rPr>
          <w:strike/>
          <w:sz w:val="22"/>
          <w:szCs w:val="22"/>
          <w:highlight w:val="cyan"/>
        </w:rPr>
        <w:t xml:space="preserve">Members who retire before meeting the age and years of service credit requirement for unreduced benefits receive a percentage reduction in the benefit amount. The amount of a member’s pension benefit vests upon receipt of the initial benefit payment.  </w:t>
      </w:r>
    </w:p>
    <w:p w14:paraId="3ADDA9AA" w14:textId="77777777" w:rsidR="00851EF7" w:rsidRPr="00E800F3" w:rsidRDefault="00851EF7" w:rsidP="00807281">
      <w:pPr>
        <w:widowControl/>
        <w:autoSpaceDE/>
        <w:autoSpaceDN/>
        <w:adjustRightInd/>
        <w:jc w:val="both"/>
        <w:rPr>
          <w:strike/>
          <w:sz w:val="22"/>
          <w:szCs w:val="22"/>
          <w:highlight w:val="cyan"/>
        </w:rPr>
      </w:pPr>
    </w:p>
    <w:p w14:paraId="634C010C" w14:textId="4E7A09FA" w:rsidR="00807281" w:rsidRPr="00807281" w:rsidRDefault="00807281" w:rsidP="00807281">
      <w:pPr>
        <w:widowControl/>
        <w:autoSpaceDE/>
        <w:autoSpaceDN/>
        <w:adjustRightInd/>
        <w:jc w:val="both"/>
        <w:rPr>
          <w:sz w:val="22"/>
          <w:szCs w:val="22"/>
        </w:rPr>
      </w:pPr>
      <w:r w:rsidRPr="00E800F3">
        <w:rPr>
          <w:strike/>
          <w:sz w:val="22"/>
          <w:szCs w:val="22"/>
          <w:highlight w:val="cyan"/>
        </w:rPr>
        <w:t>The options for Public Safety and Law Enforcement permit early retirement under qualifying circumstances as early as age 48 with a reduced benefit.</w:t>
      </w:r>
      <w:r w:rsidRPr="00807281">
        <w:rPr>
          <w:sz w:val="22"/>
          <w:szCs w:val="22"/>
        </w:rPr>
        <w:t xml:space="preserve"> </w:t>
      </w:r>
    </w:p>
    <w:bookmarkEnd w:id="164"/>
    <w:p w14:paraId="75D11CAC" w14:textId="77777777" w:rsidR="00807281" w:rsidRPr="00807281" w:rsidRDefault="00807281" w:rsidP="00807281">
      <w:pPr>
        <w:widowControl/>
        <w:autoSpaceDE/>
        <w:autoSpaceDN/>
        <w:adjustRightInd/>
        <w:jc w:val="both"/>
        <w:rPr>
          <w:sz w:val="22"/>
          <w:szCs w:val="22"/>
        </w:rPr>
      </w:pPr>
    </w:p>
    <w:p w14:paraId="7245E13A" w14:textId="1B7E7BEF" w:rsidR="00807281" w:rsidRPr="00807281" w:rsidRDefault="00807281" w:rsidP="00807281">
      <w:pPr>
        <w:widowControl/>
        <w:autoSpaceDE/>
        <w:autoSpaceDN/>
        <w:adjustRightInd/>
        <w:jc w:val="both"/>
        <w:rPr>
          <w:sz w:val="22"/>
          <w:szCs w:val="22"/>
        </w:rPr>
      </w:pPr>
      <w:bookmarkStart w:id="165" w:name="_Hlk121748137"/>
      <w:r w:rsidRPr="00807281">
        <w:rPr>
          <w:sz w:val="22"/>
          <w:szCs w:val="22"/>
        </w:rPr>
        <w:t xml:space="preserve">When a traditional plan benefit recipient has received benefits for 12 months, the member is eligible for an annual cost of living adjustment (COLA). This COLA is calculated on the </w:t>
      </w:r>
      <w:r w:rsidR="0047432E" w:rsidRPr="0047432E">
        <w:rPr>
          <w:sz w:val="22"/>
          <w:szCs w:val="22"/>
          <w:highlight w:val="cyan"/>
        </w:rPr>
        <w:t>member’s original</w:t>
      </w:r>
      <w:r w:rsidR="0047432E">
        <w:rPr>
          <w:sz w:val="22"/>
          <w:szCs w:val="22"/>
        </w:rPr>
        <w:t xml:space="preserve"> </w:t>
      </w:r>
      <w:r w:rsidRPr="00807281">
        <w:rPr>
          <w:sz w:val="22"/>
          <w:szCs w:val="22"/>
        </w:rPr>
        <w:t xml:space="preserve">base retirement benefit at the date of retirement and is not compounded. Members retiring under the combined plan receive a cost–of–living adjustment on the defined benefit portion of their pension benefit.  For those who retired prior to January 7, 2013, the </w:t>
      </w:r>
      <w:r w:rsidR="000B7AB8" w:rsidRPr="00807281">
        <w:rPr>
          <w:sz w:val="22"/>
          <w:szCs w:val="22"/>
        </w:rPr>
        <w:t>cost-of-living</w:t>
      </w:r>
      <w:r w:rsidRPr="00807281">
        <w:rPr>
          <w:sz w:val="22"/>
          <w:szCs w:val="22"/>
        </w:rPr>
        <w:t xml:space="preserve"> adjustment is 3 percent.  For those retiring on or after January 7, 2013, beginning in calendar year 2019, the adjustment is based on the average percentage increase in the Consumer Price Index, capped at 3 percent.</w:t>
      </w:r>
    </w:p>
    <w:bookmarkEnd w:id="165"/>
    <w:p w14:paraId="562B685A" w14:textId="77777777" w:rsidR="00807281" w:rsidRPr="00807281" w:rsidRDefault="00807281" w:rsidP="00807281">
      <w:pPr>
        <w:widowControl/>
        <w:autoSpaceDE/>
        <w:autoSpaceDN/>
        <w:adjustRightInd/>
        <w:rPr>
          <w:b/>
          <w:bCs/>
          <w:sz w:val="22"/>
          <w:szCs w:val="22"/>
        </w:rPr>
      </w:pPr>
    </w:p>
    <w:p w14:paraId="5A4F2D85" w14:textId="77777777" w:rsidR="00807281" w:rsidRPr="00807281" w:rsidRDefault="00807281" w:rsidP="00807281">
      <w:pPr>
        <w:widowControl/>
        <w:autoSpaceDE/>
        <w:autoSpaceDN/>
        <w:adjustRightInd/>
        <w:jc w:val="both"/>
        <w:rPr>
          <w:bCs/>
          <w:sz w:val="22"/>
          <w:szCs w:val="22"/>
        </w:rPr>
      </w:pPr>
      <w:bookmarkStart w:id="166" w:name="_Hlk121748143"/>
      <w:r w:rsidRPr="00807281">
        <w:rPr>
          <w:bCs/>
          <w:sz w:val="22"/>
          <w:szCs w:val="22"/>
        </w:rPr>
        <w:t>Defined contribution plan benefits are established in the plan documents, which may be amended by the Board. Member-directed plan and combined plan members who have met the retirement eligibility requirements may apply for retirement benefits. The amount available for defined contribution benefits in the combined plan consists of the member’s contributions plus or minus the investment gains or losses resulting from the member’s investment selections.  Combined plan members wishing to receive benefits must meet the requirements for both the defined benefit and defined contribution plans. Member-directed participants must have attained the age of 55, have money on deposit in the defined contribution plan and have terminated public service to apply for retirement benefits.  The amount available for defined contribution benefits in the member-directed plan consists of the members’ contributions, vested employer contributions and investment gains or losses resulting from the members’ investment selections.  Employer contributions and associated investment earnings vest over a five-year period, at a rate of 20 percent each year. At retirement, members may select one of several distribution options for payment of the vested balance in their individual OPERS accounts</w:t>
      </w:r>
      <w:r w:rsidRPr="009E6C52">
        <w:rPr>
          <w:bCs/>
          <w:sz w:val="22"/>
          <w:szCs w:val="22"/>
        </w:rPr>
        <w:t>. Options include the annuitization of the benefit (which includes joint and survivor options and will continue to be administered by OPERS), partial lump-sum payments (subject to limitations), a rollover of the vested account balance to another financial institution, receipt of entire account balance, net of taxes withheld, or a combination of these options.</w:t>
      </w:r>
      <w:r w:rsidRPr="00807281">
        <w:rPr>
          <w:bCs/>
          <w:sz w:val="22"/>
          <w:szCs w:val="22"/>
        </w:rPr>
        <w:t xml:space="preserve"> When members choose to annuitize their defined contribution benefit, the annuitized portion of the benefit is reclassified to a defined benefit.</w:t>
      </w:r>
    </w:p>
    <w:bookmarkEnd w:id="166"/>
    <w:p w14:paraId="2A922594" w14:textId="77777777" w:rsidR="00807281" w:rsidRPr="00807281" w:rsidRDefault="00807281" w:rsidP="00807281">
      <w:pPr>
        <w:widowControl/>
        <w:autoSpaceDE/>
        <w:autoSpaceDN/>
        <w:adjustRightInd/>
        <w:jc w:val="both"/>
        <w:rPr>
          <w:bCs/>
          <w:sz w:val="22"/>
          <w:szCs w:val="22"/>
        </w:rPr>
      </w:pPr>
    </w:p>
    <w:p w14:paraId="2D0A1B20" w14:textId="05B62424" w:rsidR="00807281" w:rsidRDefault="00807281" w:rsidP="00807281">
      <w:pPr>
        <w:widowControl/>
        <w:autoSpaceDE/>
        <w:autoSpaceDN/>
        <w:adjustRightInd/>
        <w:jc w:val="both"/>
        <w:rPr>
          <w:sz w:val="22"/>
          <w:szCs w:val="22"/>
        </w:rPr>
      </w:pPr>
      <w:r w:rsidRPr="00807281">
        <w:rPr>
          <w:sz w:val="22"/>
          <w:szCs w:val="22"/>
        </w:rPr>
        <w:t>Funding Policy - The Ohio Revised Code (ORC) provides statutory authority for member and employer contributions as follows:</w:t>
      </w:r>
    </w:p>
    <w:p w14:paraId="70E3B4DE" w14:textId="77777777" w:rsidR="009E6C52" w:rsidRPr="00807281" w:rsidRDefault="009E6C52" w:rsidP="00807281">
      <w:pPr>
        <w:widowControl/>
        <w:autoSpaceDE/>
        <w:autoSpaceDN/>
        <w:adjustRightInd/>
        <w:jc w:val="both"/>
        <w:rPr>
          <w:sz w:val="22"/>
          <w:szCs w:val="22"/>
        </w:rPr>
      </w:pPr>
    </w:p>
    <w:bookmarkStart w:id="167" w:name="_Hlk121748187"/>
    <w:bookmarkStart w:id="168" w:name="_MON_1732016823"/>
    <w:bookmarkEnd w:id="168"/>
    <w:p w14:paraId="77BF7283" w14:textId="3563C28F" w:rsidR="00807281" w:rsidRPr="00807281" w:rsidRDefault="00AD2932" w:rsidP="00807281">
      <w:pPr>
        <w:widowControl/>
        <w:autoSpaceDE/>
        <w:autoSpaceDN/>
        <w:adjustRightInd/>
        <w:jc w:val="both"/>
        <w:rPr>
          <w:b/>
          <w:bCs/>
          <w:sz w:val="24"/>
          <w:szCs w:val="24"/>
        </w:rPr>
      </w:pPr>
      <w:r w:rsidRPr="00DC17E1">
        <w:rPr>
          <w:sz w:val="22"/>
          <w:szCs w:val="22"/>
          <w:highlight w:val="cyan"/>
        </w:rPr>
        <w:object w:dxaOrig="10106" w:dyaOrig="6738" w14:anchorId="63029AF5">
          <v:shape id="_x0000_i1035" type="#_x0000_t75" style="width:483.6pt;height:347.4pt" o:ole="">
            <v:imagedata r:id="rId35" o:title=""/>
          </v:shape>
          <o:OLEObject Type="Embed" ProgID="Excel.Sheet.12" ShapeID="_x0000_i1035" DrawAspect="Content" ObjectID="_1798480937" r:id="rId36"/>
        </w:object>
      </w:r>
      <w:bookmarkEnd w:id="167"/>
    </w:p>
    <w:p w14:paraId="06990E45" w14:textId="77777777" w:rsidR="00807281" w:rsidRPr="00807281" w:rsidRDefault="00807281" w:rsidP="00807281">
      <w:pPr>
        <w:widowControl/>
        <w:autoSpaceDE/>
        <w:autoSpaceDN/>
        <w:adjustRightInd/>
        <w:jc w:val="both"/>
        <w:rPr>
          <w:sz w:val="22"/>
          <w:szCs w:val="22"/>
        </w:rPr>
      </w:pPr>
    </w:p>
    <w:p w14:paraId="38C51827" w14:textId="77777777" w:rsidR="00807281" w:rsidRPr="00807281" w:rsidRDefault="00807281" w:rsidP="00807281">
      <w:pPr>
        <w:widowControl/>
        <w:autoSpaceDE/>
        <w:autoSpaceDN/>
        <w:adjustRightInd/>
        <w:jc w:val="both"/>
        <w:rPr>
          <w:sz w:val="22"/>
          <w:szCs w:val="22"/>
        </w:rPr>
      </w:pPr>
      <w:r w:rsidRPr="00807281">
        <w:rPr>
          <w:sz w:val="22"/>
          <w:szCs w:val="22"/>
        </w:rPr>
        <w:t>Employer contribution rates are actuarially determined and are expressed as a percentage of covered payroll. </w:t>
      </w:r>
    </w:p>
    <w:p w14:paraId="4098DB9D" w14:textId="7C3C54A6" w:rsidR="0020313B" w:rsidRDefault="0020313B" w:rsidP="00807281">
      <w:pPr>
        <w:widowControl/>
        <w:autoSpaceDE/>
        <w:autoSpaceDN/>
        <w:adjustRightInd/>
        <w:jc w:val="both"/>
        <w:rPr>
          <w:sz w:val="22"/>
          <w:szCs w:val="22"/>
        </w:rPr>
      </w:pPr>
    </w:p>
    <w:p w14:paraId="53893F5C" w14:textId="77777777" w:rsidR="00215A53" w:rsidRPr="00215A53" w:rsidRDefault="0020313B" w:rsidP="00533678">
      <w:pPr>
        <w:widowControl/>
        <w:autoSpaceDE/>
        <w:autoSpaceDN/>
        <w:adjustRightInd/>
        <w:jc w:val="both"/>
        <w:rPr>
          <w:sz w:val="22"/>
          <w:szCs w:val="22"/>
        </w:rPr>
      </w:pPr>
      <w:r w:rsidRPr="002071D1">
        <w:rPr>
          <w:sz w:val="22"/>
          <w:szCs w:val="22"/>
        </w:rPr>
        <w:t xml:space="preserve">For 20CY, the Library’s contractually required contribution was </w:t>
      </w:r>
      <w:r w:rsidRPr="002071D1">
        <w:rPr>
          <w:sz w:val="22"/>
          <w:szCs w:val="22"/>
          <w:highlight w:val="green"/>
        </w:rPr>
        <w:t>$XXX,XXX</w:t>
      </w:r>
      <w:r w:rsidRPr="002071D1">
        <w:rPr>
          <w:sz w:val="22"/>
          <w:szCs w:val="22"/>
        </w:rPr>
        <w:t xml:space="preserve"> for the traditional plan, </w:t>
      </w:r>
      <w:r w:rsidRPr="002071D1">
        <w:rPr>
          <w:sz w:val="22"/>
          <w:szCs w:val="22"/>
          <w:highlight w:val="green"/>
        </w:rPr>
        <w:t>$XX,XXX</w:t>
      </w:r>
      <w:r w:rsidRPr="002071D1">
        <w:rPr>
          <w:sz w:val="22"/>
          <w:szCs w:val="22"/>
        </w:rPr>
        <w:t xml:space="preserve"> for the combined plan and </w:t>
      </w:r>
      <w:r w:rsidRPr="002071D1">
        <w:rPr>
          <w:sz w:val="22"/>
          <w:szCs w:val="22"/>
          <w:highlight w:val="green"/>
        </w:rPr>
        <w:t>$X,XXX</w:t>
      </w:r>
      <w:r w:rsidRPr="002071D1">
        <w:rPr>
          <w:sz w:val="22"/>
          <w:szCs w:val="22"/>
        </w:rPr>
        <w:t xml:space="preserve"> for the member-directed plan.</w:t>
      </w:r>
      <w:r w:rsidR="00215A53" w:rsidRPr="00215A53">
        <w:rPr>
          <w:sz w:val="22"/>
          <w:szCs w:val="22"/>
        </w:rPr>
        <w:t xml:space="preserve"> </w:t>
      </w:r>
    </w:p>
    <w:p w14:paraId="53507B9F" w14:textId="77777777" w:rsidR="0020313B" w:rsidRDefault="0020313B" w:rsidP="00533678">
      <w:pPr>
        <w:widowControl/>
        <w:jc w:val="both"/>
        <w:rPr>
          <w:b/>
          <w:sz w:val="24"/>
          <w:szCs w:val="24"/>
          <w:lang w:eastAsia="ja-JP"/>
        </w:rPr>
      </w:pPr>
    </w:p>
    <w:p w14:paraId="32878446" w14:textId="77777777" w:rsidR="004A4938" w:rsidRPr="00845497" w:rsidRDefault="004A4938" w:rsidP="004A4938">
      <w:pPr>
        <w:tabs>
          <w:tab w:val="left" w:pos="0"/>
          <w:tab w:val="left" w:pos="547"/>
          <w:tab w:val="left" w:pos="907"/>
          <w:tab w:val="left" w:pos="1440"/>
          <w:tab w:val="left" w:pos="1987"/>
          <w:tab w:val="right" w:pos="4950"/>
          <w:tab w:val="right" w:pos="6390"/>
          <w:tab w:val="right" w:pos="7830"/>
          <w:tab w:val="right" w:pos="9270"/>
        </w:tabs>
        <w:jc w:val="both"/>
        <w:rPr>
          <w:sz w:val="22"/>
          <w:szCs w:val="22"/>
        </w:rPr>
      </w:pPr>
      <w:r w:rsidRPr="00845497">
        <w:rPr>
          <w:b/>
          <w:i/>
          <w:iCs/>
          <w:sz w:val="22"/>
          <w:szCs w:val="22"/>
        </w:rPr>
        <w:t xml:space="preserve">Social Security </w:t>
      </w:r>
      <w:r w:rsidRPr="00845497">
        <w:rPr>
          <w:i/>
          <w:iCs/>
          <w:sz w:val="22"/>
          <w:szCs w:val="22"/>
          <w:highlight w:val="yellow"/>
        </w:rPr>
        <w:t>(Delete this note if no employees are entitled to these benefits)</w:t>
      </w:r>
    </w:p>
    <w:p w14:paraId="13EA38FD" w14:textId="77777777" w:rsidR="004A4938" w:rsidRPr="00845497" w:rsidRDefault="004A4938" w:rsidP="004A4938">
      <w:pPr>
        <w:tabs>
          <w:tab w:val="left" w:pos="0"/>
          <w:tab w:val="left" w:pos="547"/>
          <w:tab w:val="left" w:pos="936"/>
          <w:tab w:val="left" w:pos="1440"/>
          <w:tab w:val="left" w:pos="1987"/>
        </w:tabs>
        <w:jc w:val="both"/>
        <w:rPr>
          <w:sz w:val="22"/>
          <w:szCs w:val="22"/>
        </w:rPr>
      </w:pPr>
    </w:p>
    <w:p w14:paraId="1B99074C" w14:textId="61C59D0C" w:rsidR="004A4938" w:rsidRPr="00845497" w:rsidRDefault="004A4938" w:rsidP="004A4938">
      <w:pPr>
        <w:tabs>
          <w:tab w:val="left" w:pos="0"/>
          <w:tab w:val="left" w:pos="547"/>
          <w:tab w:val="left" w:pos="936"/>
          <w:tab w:val="left" w:pos="1440"/>
          <w:tab w:val="left" w:pos="1987"/>
        </w:tabs>
        <w:jc w:val="both"/>
        <w:rPr>
          <w:sz w:val="22"/>
          <w:szCs w:val="22"/>
        </w:rPr>
      </w:pPr>
      <w:r>
        <w:rPr>
          <w:sz w:val="22"/>
          <w:szCs w:val="22"/>
          <w:highlight w:val="green"/>
        </w:rPr>
        <w:t>The/Several</w:t>
      </w:r>
      <w:r w:rsidRPr="007200F8">
        <w:rPr>
          <w:sz w:val="22"/>
          <w:szCs w:val="22"/>
          <w:highlight w:val="green"/>
        </w:rPr>
        <w:t xml:space="preserve"> </w:t>
      </w:r>
      <w:r w:rsidRPr="00845497">
        <w:rPr>
          <w:sz w:val="22"/>
          <w:szCs w:val="22"/>
          <w:highlight w:val="yellow"/>
        </w:rPr>
        <w:t>[Modify reference to number of employees participating in Social Security.]</w:t>
      </w:r>
      <w:r w:rsidRPr="00845497">
        <w:rPr>
          <w:sz w:val="22"/>
          <w:szCs w:val="22"/>
        </w:rPr>
        <w:t xml:space="preserve"> </w:t>
      </w:r>
      <w:r w:rsidR="00C21EC9">
        <w:rPr>
          <w:sz w:val="22"/>
          <w:szCs w:val="22"/>
        </w:rPr>
        <w:t>Library</w:t>
      </w:r>
      <w:r>
        <w:rPr>
          <w:sz w:val="22"/>
          <w:szCs w:val="22"/>
        </w:rPr>
        <w:t xml:space="preserve"> employees contributed to S</w:t>
      </w:r>
      <w:r w:rsidRPr="00845497">
        <w:rPr>
          <w:sz w:val="22"/>
          <w:szCs w:val="22"/>
        </w:rPr>
        <w:t xml:space="preserve">ocial Security.  This plan provides retirement benefits, including survivor and disability benefits to participant.  </w:t>
      </w:r>
    </w:p>
    <w:p w14:paraId="58B9A9BA" w14:textId="77777777" w:rsidR="004A4938" w:rsidRPr="00845497" w:rsidRDefault="004A4938" w:rsidP="004A4938">
      <w:pPr>
        <w:tabs>
          <w:tab w:val="left" w:pos="0"/>
          <w:tab w:val="left" w:pos="547"/>
          <w:tab w:val="left" w:pos="936"/>
          <w:tab w:val="left" w:pos="1440"/>
          <w:tab w:val="left" w:pos="1987"/>
        </w:tabs>
        <w:ind w:left="907"/>
        <w:jc w:val="both"/>
        <w:rPr>
          <w:sz w:val="22"/>
          <w:szCs w:val="22"/>
        </w:rPr>
      </w:pPr>
    </w:p>
    <w:p w14:paraId="1AF7E136" w14:textId="6596A68F" w:rsidR="004A4938" w:rsidRDefault="004A4938" w:rsidP="004A4938">
      <w:pPr>
        <w:widowControl/>
        <w:jc w:val="both"/>
        <w:rPr>
          <w:b/>
          <w:sz w:val="24"/>
          <w:szCs w:val="24"/>
          <w:lang w:eastAsia="ja-JP"/>
        </w:rPr>
      </w:pPr>
      <w:r w:rsidRPr="00845497">
        <w:rPr>
          <w:sz w:val="22"/>
          <w:szCs w:val="22"/>
        </w:rPr>
        <w:t>Employees contributed 6.2 percent of th</w:t>
      </w:r>
      <w:r>
        <w:rPr>
          <w:sz w:val="22"/>
          <w:szCs w:val="22"/>
        </w:rPr>
        <w:t xml:space="preserve">eir gross salaries. The </w:t>
      </w:r>
      <w:r w:rsidR="00C21EC9">
        <w:rPr>
          <w:sz w:val="22"/>
          <w:szCs w:val="22"/>
        </w:rPr>
        <w:t>Library</w:t>
      </w:r>
      <w:r w:rsidRPr="00845497">
        <w:rPr>
          <w:sz w:val="22"/>
          <w:szCs w:val="22"/>
        </w:rPr>
        <w:t xml:space="preserve"> contributed an amount equal to 6.2 percent of participan</w:t>
      </w:r>
      <w:r>
        <w:rPr>
          <w:sz w:val="22"/>
          <w:szCs w:val="22"/>
        </w:rPr>
        <w:t xml:space="preserve">ts’ gross salaries. The </w:t>
      </w:r>
      <w:r w:rsidR="00FF6F2C">
        <w:rPr>
          <w:sz w:val="22"/>
          <w:szCs w:val="22"/>
        </w:rPr>
        <w:t>Library</w:t>
      </w:r>
      <w:r w:rsidRPr="00845497">
        <w:rPr>
          <w:sz w:val="22"/>
          <w:szCs w:val="22"/>
        </w:rPr>
        <w:t xml:space="preserve"> has paid all contributions required through December 31, 20</w:t>
      </w:r>
      <w:r w:rsidRPr="00845497">
        <w:rPr>
          <w:sz w:val="22"/>
          <w:szCs w:val="22"/>
          <w:highlight w:val="green"/>
        </w:rPr>
        <w:t>XX.</w:t>
      </w:r>
    </w:p>
    <w:p w14:paraId="51A35C60" w14:textId="77777777" w:rsidR="0020313B" w:rsidRDefault="0020313B" w:rsidP="00533678">
      <w:pPr>
        <w:widowControl/>
        <w:jc w:val="both"/>
        <w:rPr>
          <w:b/>
          <w:sz w:val="24"/>
          <w:szCs w:val="24"/>
          <w:lang w:eastAsia="ja-JP"/>
        </w:rPr>
      </w:pPr>
    </w:p>
    <w:p w14:paraId="5506FA44" w14:textId="77777777" w:rsidR="004D759E" w:rsidRDefault="004D759E" w:rsidP="00533678">
      <w:pPr>
        <w:widowControl/>
        <w:jc w:val="both"/>
        <w:rPr>
          <w:b/>
          <w:sz w:val="24"/>
          <w:szCs w:val="24"/>
          <w:lang w:eastAsia="ja-JP"/>
        </w:rPr>
      </w:pPr>
    </w:p>
    <w:p w14:paraId="4EA39FAC" w14:textId="77777777" w:rsidR="004D759E" w:rsidRDefault="004D759E" w:rsidP="00533678">
      <w:pPr>
        <w:widowControl/>
        <w:jc w:val="both"/>
        <w:rPr>
          <w:b/>
          <w:sz w:val="24"/>
          <w:szCs w:val="24"/>
          <w:lang w:eastAsia="ja-JP"/>
        </w:rPr>
      </w:pPr>
    </w:p>
    <w:p w14:paraId="6356EF4F" w14:textId="77777777" w:rsidR="004D759E" w:rsidRDefault="004D759E" w:rsidP="00533678">
      <w:pPr>
        <w:widowControl/>
        <w:jc w:val="both"/>
        <w:rPr>
          <w:b/>
          <w:sz w:val="24"/>
          <w:szCs w:val="24"/>
          <w:lang w:eastAsia="ja-JP"/>
        </w:rPr>
      </w:pPr>
    </w:p>
    <w:p w14:paraId="1ED9752F" w14:textId="77777777" w:rsidR="004D759E" w:rsidRDefault="004D759E" w:rsidP="00533678">
      <w:pPr>
        <w:widowControl/>
        <w:jc w:val="both"/>
        <w:rPr>
          <w:b/>
          <w:sz w:val="24"/>
          <w:szCs w:val="24"/>
          <w:lang w:eastAsia="ja-JP"/>
        </w:rPr>
      </w:pPr>
    </w:p>
    <w:p w14:paraId="6EF61203" w14:textId="77777777" w:rsidR="004D759E" w:rsidRDefault="004D759E" w:rsidP="00533678">
      <w:pPr>
        <w:widowControl/>
        <w:jc w:val="both"/>
        <w:rPr>
          <w:b/>
          <w:sz w:val="24"/>
          <w:szCs w:val="24"/>
          <w:lang w:eastAsia="ja-JP"/>
        </w:rPr>
      </w:pPr>
    </w:p>
    <w:p w14:paraId="031BB202" w14:textId="77777777" w:rsidR="00F45A84" w:rsidRDefault="003B2345" w:rsidP="00533678">
      <w:pPr>
        <w:widowControl/>
        <w:jc w:val="both"/>
        <w:rPr>
          <w:b/>
          <w:sz w:val="24"/>
          <w:szCs w:val="24"/>
          <w:lang w:eastAsia="ja-JP"/>
        </w:rPr>
      </w:pPr>
      <w:r w:rsidRPr="005374C3">
        <w:rPr>
          <w:b/>
          <w:sz w:val="24"/>
          <w:szCs w:val="24"/>
          <w:lang w:eastAsia="ja-JP"/>
        </w:rPr>
        <w:lastRenderedPageBreak/>
        <w:t>Note 1</w:t>
      </w:r>
      <w:r w:rsidR="00215A53">
        <w:rPr>
          <w:b/>
          <w:sz w:val="24"/>
          <w:szCs w:val="24"/>
          <w:lang w:eastAsia="ja-JP"/>
        </w:rPr>
        <w:t>0</w:t>
      </w:r>
      <w:r w:rsidR="00F45A84" w:rsidRPr="005374C3">
        <w:rPr>
          <w:b/>
          <w:sz w:val="24"/>
          <w:szCs w:val="24"/>
          <w:lang w:eastAsia="ja-JP"/>
        </w:rPr>
        <w:t xml:space="preserve"> </w:t>
      </w:r>
      <w:r w:rsidR="004F4755" w:rsidRPr="005374C3">
        <w:rPr>
          <w:b/>
          <w:sz w:val="24"/>
          <w:szCs w:val="24"/>
        </w:rPr>
        <w:t>–</w:t>
      </w:r>
      <w:r w:rsidR="00F45A84" w:rsidRPr="005374C3">
        <w:rPr>
          <w:b/>
          <w:sz w:val="24"/>
          <w:szCs w:val="24"/>
          <w:lang w:eastAsia="ja-JP"/>
        </w:rPr>
        <w:t xml:space="preserve"> Postemployment Benefits</w:t>
      </w:r>
    </w:p>
    <w:p w14:paraId="5888B61D" w14:textId="77777777" w:rsidR="00F4452E" w:rsidRDefault="00F4452E" w:rsidP="00533678">
      <w:pPr>
        <w:widowControl/>
        <w:jc w:val="both"/>
        <w:rPr>
          <w:b/>
          <w:sz w:val="24"/>
          <w:szCs w:val="24"/>
          <w:lang w:eastAsia="ja-JP"/>
        </w:rPr>
      </w:pPr>
    </w:p>
    <w:p w14:paraId="0FBF6A01" w14:textId="77777777" w:rsidR="00F4452E" w:rsidRPr="00F4452E" w:rsidRDefault="00F4452E" w:rsidP="00533678">
      <w:pPr>
        <w:widowControl/>
        <w:rPr>
          <w:b/>
          <w:bCs/>
          <w:sz w:val="22"/>
          <w:szCs w:val="22"/>
        </w:rPr>
      </w:pPr>
      <w:r w:rsidRPr="00F4452E">
        <w:rPr>
          <w:b/>
          <w:sz w:val="22"/>
          <w:szCs w:val="22"/>
          <w:highlight w:val="yellow"/>
        </w:rPr>
        <w:t>Refer to the employer notices from th</w:t>
      </w:r>
      <w:r w:rsidRPr="00303BD2">
        <w:rPr>
          <w:b/>
          <w:sz w:val="22"/>
          <w:szCs w:val="22"/>
          <w:highlight w:val="yellow"/>
        </w:rPr>
        <w:t>e pension systems for the most updated</w:t>
      </w:r>
      <w:r w:rsidR="00303BD2" w:rsidRPr="00303BD2">
        <w:rPr>
          <w:b/>
          <w:sz w:val="22"/>
          <w:szCs w:val="22"/>
          <w:highlight w:val="yellow"/>
        </w:rPr>
        <w:t xml:space="preserve"> OPEB</w:t>
      </w:r>
      <w:r w:rsidRPr="00303BD2">
        <w:rPr>
          <w:b/>
          <w:sz w:val="22"/>
          <w:szCs w:val="22"/>
          <w:highlight w:val="yellow"/>
        </w:rPr>
        <w:t xml:space="preserve"> disclosures.</w:t>
      </w:r>
    </w:p>
    <w:p w14:paraId="3D526F52" w14:textId="77777777" w:rsidR="00356A7F" w:rsidRDefault="00356A7F" w:rsidP="00533678">
      <w:pPr>
        <w:widowControl/>
        <w:jc w:val="both"/>
        <w:rPr>
          <w:b/>
          <w:sz w:val="24"/>
          <w:szCs w:val="24"/>
          <w:lang w:eastAsia="ja-JP"/>
        </w:rPr>
      </w:pPr>
    </w:p>
    <w:p w14:paraId="6CE4A1D3" w14:textId="77777777" w:rsidR="009E6C52" w:rsidRDefault="009E6C52" w:rsidP="009E6C52">
      <w:pPr>
        <w:spacing w:line="252" w:lineRule="atLeast"/>
        <w:jc w:val="both"/>
        <w:rPr>
          <w:b/>
          <w:bCs/>
          <w:i/>
          <w:iCs/>
          <w:sz w:val="22"/>
          <w:szCs w:val="22"/>
        </w:rPr>
      </w:pPr>
      <w:r w:rsidRPr="00DA64D1">
        <w:rPr>
          <w:b/>
          <w:bCs/>
          <w:i/>
          <w:iCs/>
          <w:sz w:val="22"/>
          <w:szCs w:val="22"/>
        </w:rPr>
        <w:t>Ohio Public Employees Retirement System</w:t>
      </w:r>
    </w:p>
    <w:p w14:paraId="1A210634" w14:textId="77777777" w:rsidR="009E6C52" w:rsidRDefault="009E6C52" w:rsidP="009E6C52">
      <w:pPr>
        <w:spacing w:line="252" w:lineRule="atLeast"/>
        <w:jc w:val="both"/>
        <w:rPr>
          <w:b/>
          <w:bCs/>
          <w:i/>
          <w:iCs/>
          <w:sz w:val="22"/>
          <w:szCs w:val="22"/>
        </w:rPr>
      </w:pPr>
    </w:p>
    <w:p w14:paraId="64FF636C" w14:textId="77777777" w:rsidR="00346A5A" w:rsidRPr="0039341D" w:rsidRDefault="00346A5A" w:rsidP="00346A5A">
      <w:pPr>
        <w:jc w:val="both"/>
        <w:rPr>
          <w:sz w:val="22"/>
          <w:szCs w:val="22"/>
          <w:highlight w:val="cyan"/>
        </w:rPr>
      </w:pPr>
      <w:bookmarkStart w:id="169" w:name="_Hlk121751318"/>
      <w:r w:rsidRPr="0039341D">
        <w:rPr>
          <w:sz w:val="22"/>
          <w:szCs w:val="22"/>
          <w:highlight w:val="cyan"/>
        </w:rPr>
        <w:t>Plan Description – The Ohio Public Employees Retirement System (OPERS) administers three separate pension plans: the traditional pension plan, a cost-sharing, multiple-employer defined benefit pension plan; the member-directed plan, a defined contribution plan; and the combined plan, a cost-sharing, multiple-employer defined benefit pension plan that has elements of both a defined benefit and defined contribution plan.</w:t>
      </w:r>
    </w:p>
    <w:bookmarkEnd w:id="169"/>
    <w:p w14:paraId="3496029F" w14:textId="77777777" w:rsidR="00346A5A" w:rsidRPr="0039341D" w:rsidRDefault="00346A5A" w:rsidP="00346A5A">
      <w:pPr>
        <w:jc w:val="both"/>
        <w:rPr>
          <w:sz w:val="22"/>
          <w:szCs w:val="22"/>
          <w:highlight w:val="cyan"/>
        </w:rPr>
      </w:pPr>
    </w:p>
    <w:p w14:paraId="79EF662D" w14:textId="77777777" w:rsidR="00346A5A" w:rsidRPr="0039341D" w:rsidRDefault="00346A5A" w:rsidP="00346A5A">
      <w:pPr>
        <w:jc w:val="both"/>
        <w:rPr>
          <w:sz w:val="22"/>
          <w:szCs w:val="22"/>
          <w:highlight w:val="cyan"/>
        </w:rPr>
      </w:pPr>
      <w:r w:rsidRPr="0039341D">
        <w:rPr>
          <w:sz w:val="22"/>
          <w:szCs w:val="22"/>
          <w:highlight w:val="cyan"/>
        </w:rPr>
        <w:t xml:space="preserve">OPERS maintains a cost-sharing, multiple-employer defined benefit post-employment health care trust.  The 115 Health Care Trust (115 Trust or Health Care Trust) was established in 2014, under Section 115 of the Internal Revenue Code (IRC). The purpose of the 115 Trust is to fund health care for the Traditional Pension, Combined and Member-Directed plans. The Ohio Revised Code permits, but does not require, OPERS to provide health care to its eligible benefit recipients.  Authority to establish and amend health care coverage is provided to the Board in Chapter 145 of the Ohio Revised Code.  Retirees in the Traditional Pension and Combined plans may have an allowance deposited into a health reimbursement arrangement (HRA) account to be used toward the health care program of their choice and other eligible expenses.  An OPERS vendor is available to assist with the selection of a health care program </w:t>
      </w:r>
    </w:p>
    <w:p w14:paraId="702FB312" w14:textId="77777777" w:rsidR="00346A5A" w:rsidRPr="0039341D" w:rsidRDefault="00346A5A" w:rsidP="00346A5A">
      <w:pPr>
        <w:jc w:val="both"/>
        <w:rPr>
          <w:sz w:val="22"/>
          <w:szCs w:val="22"/>
          <w:highlight w:val="cyan"/>
        </w:rPr>
      </w:pPr>
    </w:p>
    <w:p w14:paraId="70F5BAF0" w14:textId="77777777" w:rsidR="00346A5A" w:rsidRPr="0039341D" w:rsidRDefault="00346A5A" w:rsidP="00346A5A">
      <w:pPr>
        <w:jc w:val="both"/>
        <w:rPr>
          <w:sz w:val="22"/>
          <w:szCs w:val="22"/>
          <w:highlight w:val="cyan"/>
        </w:rPr>
      </w:pPr>
      <w:r w:rsidRPr="0039341D">
        <w:rPr>
          <w:sz w:val="22"/>
          <w:szCs w:val="22"/>
          <w:highlight w:val="cyan"/>
        </w:rPr>
        <w:t xml:space="preserve">With one exception, OPERS-provided health care coverage is neither guaranteed nor statutorily required. Ohio law currently requires Medicare Part A equivalent coverage or Medicare Part A premium reimbursement for eligible retirees and their eligible dependents. </w:t>
      </w:r>
    </w:p>
    <w:p w14:paraId="1E117DB4" w14:textId="77777777" w:rsidR="00346A5A" w:rsidRPr="0039341D" w:rsidRDefault="00346A5A" w:rsidP="00346A5A">
      <w:pPr>
        <w:jc w:val="both"/>
        <w:rPr>
          <w:sz w:val="22"/>
          <w:szCs w:val="22"/>
          <w:highlight w:val="cyan"/>
        </w:rPr>
      </w:pPr>
    </w:p>
    <w:p w14:paraId="20102741" w14:textId="77777777" w:rsidR="00346A5A" w:rsidRPr="0039341D" w:rsidRDefault="00346A5A" w:rsidP="00346A5A">
      <w:pPr>
        <w:jc w:val="both"/>
        <w:rPr>
          <w:sz w:val="22"/>
          <w:szCs w:val="22"/>
          <w:highlight w:val="cyan"/>
        </w:rPr>
      </w:pPr>
      <w:r w:rsidRPr="0039341D">
        <w:rPr>
          <w:sz w:val="22"/>
          <w:szCs w:val="22"/>
          <w:highlight w:val="cyan"/>
        </w:rPr>
        <w:t>OPERS offers a health reimbursement arrangement (HRA) allowance to benefit recipients meeting certain age and service credit requirements. The HRA is an account funded by OPERS that provides tax free reimbursement for qualified medical expenses such as monthly post-tax insurance premiums, deductibles, co-insurance, and co-pays incurred by eligible benefit recipients and their dependents.</w:t>
      </w:r>
    </w:p>
    <w:p w14:paraId="26BE9952" w14:textId="77777777" w:rsidR="00346A5A" w:rsidRPr="0039341D" w:rsidRDefault="00346A5A" w:rsidP="00346A5A">
      <w:pPr>
        <w:jc w:val="both"/>
        <w:rPr>
          <w:sz w:val="22"/>
          <w:szCs w:val="22"/>
          <w:highlight w:val="cyan"/>
        </w:rPr>
      </w:pPr>
    </w:p>
    <w:p w14:paraId="790C94CF" w14:textId="77777777" w:rsidR="00346A5A" w:rsidRPr="0039341D" w:rsidRDefault="00346A5A" w:rsidP="00346A5A">
      <w:pPr>
        <w:jc w:val="both"/>
        <w:rPr>
          <w:sz w:val="22"/>
          <w:szCs w:val="22"/>
          <w:highlight w:val="cyan"/>
        </w:rPr>
      </w:pPr>
      <w:r w:rsidRPr="0039341D">
        <w:rPr>
          <w:sz w:val="22"/>
          <w:szCs w:val="22"/>
          <w:highlight w:val="cyan"/>
        </w:rPr>
        <w:t>OPERS members enrolled in the Traditional Pension Plan or Combined Plan retiring with an effective date of January 1, 2022, or after must meet the following health care eligibility requirements to receive an HRA allowance:</w:t>
      </w:r>
    </w:p>
    <w:p w14:paraId="72B5C7FA" w14:textId="77777777" w:rsidR="00346A5A" w:rsidRPr="0039341D" w:rsidRDefault="00346A5A" w:rsidP="00346A5A">
      <w:pPr>
        <w:jc w:val="both"/>
        <w:rPr>
          <w:sz w:val="22"/>
          <w:szCs w:val="22"/>
          <w:highlight w:val="cyan"/>
        </w:rPr>
      </w:pPr>
    </w:p>
    <w:p w14:paraId="42C5A88C" w14:textId="77777777" w:rsidR="00346A5A" w:rsidRPr="0039341D" w:rsidRDefault="00346A5A" w:rsidP="00346A5A">
      <w:pPr>
        <w:ind w:left="720"/>
        <w:jc w:val="both"/>
        <w:rPr>
          <w:sz w:val="22"/>
          <w:szCs w:val="22"/>
          <w:highlight w:val="cyan"/>
        </w:rPr>
      </w:pPr>
      <w:r w:rsidRPr="0039341D">
        <w:rPr>
          <w:b/>
          <w:bCs/>
          <w:sz w:val="22"/>
          <w:szCs w:val="22"/>
          <w:highlight w:val="cyan"/>
        </w:rPr>
        <w:t>Age 65 or older Retirees</w:t>
      </w:r>
      <w:r w:rsidRPr="0039341D">
        <w:rPr>
          <w:sz w:val="22"/>
          <w:szCs w:val="22"/>
          <w:highlight w:val="cyan"/>
        </w:rPr>
        <w:t xml:space="preserve"> Minimum of 20 years of qualifying service credit</w:t>
      </w:r>
    </w:p>
    <w:p w14:paraId="33DFDDE6" w14:textId="77777777" w:rsidR="00346A5A" w:rsidRPr="0039341D" w:rsidRDefault="00346A5A" w:rsidP="00346A5A">
      <w:pPr>
        <w:jc w:val="both"/>
        <w:rPr>
          <w:sz w:val="22"/>
          <w:szCs w:val="22"/>
          <w:highlight w:val="cyan"/>
        </w:rPr>
      </w:pPr>
    </w:p>
    <w:p w14:paraId="2E508EA2" w14:textId="77777777" w:rsidR="00346A5A" w:rsidRPr="0039341D" w:rsidRDefault="00346A5A" w:rsidP="00346A5A">
      <w:pPr>
        <w:ind w:left="720"/>
        <w:jc w:val="both"/>
        <w:rPr>
          <w:sz w:val="22"/>
          <w:szCs w:val="22"/>
          <w:highlight w:val="cyan"/>
        </w:rPr>
      </w:pPr>
      <w:bookmarkStart w:id="170" w:name="_Hlk178004336"/>
      <w:r w:rsidRPr="0039341D">
        <w:rPr>
          <w:b/>
          <w:bCs/>
          <w:sz w:val="22"/>
          <w:szCs w:val="22"/>
          <w:highlight w:val="cyan"/>
        </w:rPr>
        <w:t>Age 60 to 64 Retirees B</w:t>
      </w:r>
      <w:r w:rsidRPr="0039341D">
        <w:rPr>
          <w:sz w:val="22"/>
          <w:szCs w:val="22"/>
          <w:highlight w:val="cyan"/>
        </w:rPr>
        <w:t>ased on the following age-and-service criteria:</w:t>
      </w:r>
    </w:p>
    <w:p w14:paraId="637C9AAA" w14:textId="77777777" w:rsidR="00346A5A" w:rsidRPr="0039341D" w:rsidRDefault="00346A5A" w:rsidP="00346A5A">
      <w:pPr>
        <w:jc w:val="both"/>
        <w:rPr>
          <w:sz w:val="22"/>
          <w:szCs w:val="22"/>
          <w:highlight w:val="cyan"/>
        </w:rPr>
      </w:pPr>
    </w:p>
    <w:p w14:paraId="3E466657" w14:textId="77777777" w:rsidR="00346A5A" w:rsidRPr="0039341D" w:rsidRDefault="00346A5A" w:rsidP="00346A5A">
      <w:pPr>
        <w:ind w:left="1440"/>
        <w:jc w:val="both"/>
        <w:rPr>
          <w:sz w:val="22"/>
          <w:szCs w:val="22"/>
          <w:highlight w:val="cyan"/>
        </w:rPr>
      </w:pPr>
      <w:r w:rsidRPr="0039341D">
        <w:rPr>
          <w:b/>
          <w:bCs/>
          <w:i/>
          <w:iCs/>
          <w:sz w:val="22"/>
          <w:szCs w:val="22"/>
          <w:highlight w:val="cyan"/>
        </w:rPr>
        <w:t>Group A</w:t>
      </w:r>
      <w:r w:rsidRPr="0039341D">
        <w:rPr>
          <w:sz w:val="22"/>
          <w:szCs w:val="22"/>
          <w:highlight w:val="cyan"/>
        </w:rPr>
        <w:t xml:space="preserve"> 30 years of total service with at least 20 years of qualified health care service credit;</w:t>
      </w:r>
    </w:p>
    <w:p w14:paraId="2DD0F7BD" w14:textId="77777777" w:rsidR="00346A5A" w:rsidRPr="0039341D" w:rsidRDefault="00346A5A" w:rsidP="00346A5A">
      <w:pPr>
        <w:jc w:val="both"/>
        <w:rPr>
          <w:sz w:val="22"/>
          <w:szCs w:val="22"/>
          <w:highlight w:val="cyan"/>
        </w:rPr>
      </w:pPr>
    </w:p>
    <w:p w14:paraId="44BCE939" w14:textId="77777777" w:rsidR="00346A5A" w:rsidRPr="0039341D" w:rsidRDefault="00346A5A" w:rsidP="00346A5A">
      <w:pPr>
        <w:jc w:val="both"/>
        <w:rPr>
          <w:sz w:val="22"/>
          <w:szCs w:val="22"/>
          <w:highlight w:val="cyan"/>
        </w:rPr>
      </w:pPr>
      <w:r w:rsidRPr="0039341D">
        <w:rPr>
          <w:sz w:val="22"/>
          <w:szCs w:val="22"/>
          <w:highlight w:val="cyan"/>
        </w:rPr>
        <w:tab/>
      </w:r>
      <w:r w:rsidRPr="0039341D">
        <w:rPr>
          <w:sz w:val="22"/>
          <w:szCs w:val="22"/>
          <w:highlight w:val="cyan"/>
        </w:rPr>
        <w:tab/>
      </w:r>
      <w:r w:rsidRPr="0039341D">
        <w:rPr>
          <w:b/>
          <w:bCs/>
          <w:i/>
          <w:iCs/>
          <w:sz w:val="22"/>
          <w:szCs w:val="22"/>
          <w:highlight w:val="cyan"/>
        </w:rPr>
        <w:t>Group B</w:t>
      </w:r>
      <w:r w:rsidRPr="0039341D">
        <w:rPr>
          <w:sz w:val="22"/>
          <w:szCs w:val="22"/>
          <w:highlight w:val="cyan"/>
        </w:rPr>
        <w:t xml:space="preserve"> 31 years of total service credit with at least 20 years of qualified health care </w:t>
      </w:r>
    </w:p>
    <w:p w14:paraId="1E4C0833" w14:textId="77777777" w:rsidR="00346A5A" w:rsidRPr="0039341D" w:rsidRDefault="00346A5A" w:rsidP="00346A5A">
      <w:pPr>
        <w:ind w:left="720" w:firstLine="720"/>
        <w:jc w:val="both"/>
        <w:rPr>
          <w:sz w:val="22"/>
          <w:szCs w:val="22"/>
          <w:highlight w:val="cyan"/>
        </w:rPr>
      </w:pPr>
      <w:r w:rsidRPr="0039341D">
        <w:rPr>
          <w:sz w:val="22"/>
          <w:szCs w:val="22"/>
          <w:highlight w:val="cyan"/>
        </w:rPr>
        <w:t>service credit;</w:t>
      </w:r>
      <w:r w:rsidRPr="0039341D">
        <w:rPr>
          <w:sz w:val="22"/>
          <w:szCs w:val="22"/>
          <w:highlight w:val="cyan"/>
        </w:rPr>
        <w:cr/>
      </w:r>
    </w:p>
    <w:p w14:paraId="65E353DB" w14:textId="77777777" w:rsidR="00346A5A" w:rsidRPr="0039341D" w:rsidRDefault="00346A5A" w:rsidP="00346A5A">
      <w:pPr>
        <w:ind w:left="1440"/>
        <w:jc w:val="both"/>
        <w:rPr>
          <w:sz w:val="22"/>
          <w:szCs w:val="22"/>
          <w:highlight w:val="cyan"/>
        </w:rPr>
      </w:pPr>
      <w:r w:rsidRPr="0039341D">
        <w:rPr>
          <w:b/>
          <w:bCs/>
          <w:i/>
          <w:iCs/>
          <w:sz w:val="22"/>
          <w:szCs w:val="22"/>
          <w:highlight w:val="cyan"/>
        </w:rPr>
        <w:t xml:space="preserve">Group C </w:t>
      </w:r>
      <w:r w:rsidRPr="0039341D">
        <w:rPr>
          <w:sz w:val="22"/>
          <w:szCs w:val="22"/>
          <w:highlight w:val="cyan"/>
        </w:rPr>
        <w:t>32 years of total service cred with at least 20 years of qualified health care service credit.</w:t>
      </w:r>
    </w:p>
    <w:p w14:paraId="5D14F5C3" w14:textId="77777777" w:rsidR="00346A5A" w:rsidRPr="0039341D" w:rsidRDefault="00346A5A" w:rsidP="00346A5A">
      <w:pPr>
        <w:ind w:left="1440"/>
        <w:jc w:val="both"/>
        <w:rPr>
          <w:b/>
          <w:bCs/>
          <w:i/>
          <w:iCs/>
          <w:sz w:val="22"/>
          <w:szCs w:val="22"/>
          <w:highlight w:val="cyan"/>
        </w:rPr>
      </w:pPr>
    </w:p>
    <w:bookmarkEnd w:id="170"/>
    <w:p w14:paraId="082527B0" w14:textId="77777777" w:rsidR="00346A5A" w:rsidRPr="0039341D" w:rsidRDefault="00346A5A" w:rsidP="00346A5A">
      <w:pPr>
        <w:jc w:val="both"/>
        <w:rPr>
          <w:sz w:val="22"/>
          <w:szCs w:val="22"/>
          <w:highlight w:val="cyan"/>
        </w:rPr>
      </w:pPr>
      <w:r w:rsidRPr="0039341D">
        <w:rPr>
          <w:sz w:val="22"/>
          <w:szCs w:val="22"/>
          <w:highlight w:val="cyan"/>
        </w:rPr>
        <w:tab/>
      </w:r>
      <w:r w:rsidRPr="0039341D">
        <w:rPr>
          <w:b/>
          <w:bCs/>
          <w:sz w:val="22"/>
          <w:szCs w:val="22"/>
          <w:highlight w:val="cyan"/>
        </w:rPr>
        <w:t>Age 59 or younger B</w:t>
      </w:r>
      <w:r w:rsidRPr="0039341D">
        <w:rPr>
          <w:sz w:val="22"/>
          <w:szCs w:val="22"/>
          <w:highlight w:val="cyan"/>
        </w:rPr>
        <w:t>ased on the following age-and-service criteria:</w:t>
      </w:r>
    </w:p>
    <w:p w14:paraId="1470495B" w14:textId="77777777" w:rsidR="00346A5A" w:rsidRPr="0039341D" w:rsidRDefault="00346A5A" w:rsidP="00346A5A">
      <w:pPr>
        <w:jc w:val="both"/>
        <w:rPr>
          <w:sz w:val="22"/>
          <w:szCs w:val="22"/>
          <w:highlight w:val="cyan"/>
        </w:rPr>
      </w:pPr>
    </w:p>
    <w:p w14:paraId="32BAE74D" w14:textId="77777777" w:rsidR="00346A5A" w:rsidRPr="0039341D" w:rsidRDefault="00346A5A" w:rsidP="00346A5A">
      <w:pPr>
        <w:ind w:left="1440"/>
        <w:jc w:val="both"/>
        <w:rPr>
          <w:sz w:val="22"/>
          <w:szCs w:val="22"/>
          <w:highlight w:val="cyan"/>
        </w:rPr>
      </w:pPr>
      <w:r w:rsidRPr="0039341D">
        <w:rPr>
          <w:b/>
          <w:bCs/>
          <w:i/>
          <w:iCs/>
          <w:sz w:val="22"/>
          <w:szCs w:val="22"/>
          <w:highlight w:val="cyan"/>
        </w:rPr>
        <w:t>Group A</w:t>
      </w:r>
      <w:r w:rsidRPr="0039341D">
        <w:rPr>
          <w:sz w:val="22"/>
          <w:szCs w:val="22"/>
          <w:highlight w:val="cyan"/>
        </w:rPr>
        <w:t xml:space="preserve"> 30 years of qualified health care service credit;</w:t>
      </w:r>
    </w:p>
    <w:p w14:paraId="38050146" w14:textId="77777777" w:rsidR="00346A5A" w:rsidRPr="0039341D" w:rsidRDefault="00346A5A" w:rsidP="00346A5A">
      <w:pPr>
        <w:jc w:val="both"/>
        <w:rPr>
          <w:sz w:val="22"/>
          <w:szCs w:val="22"/>
          <w:highlight w:val="cyan"/>
        </w:rPr>
      </w:pPr>
      <w:r w:rsidRPr="0039341D">
        <w:rPr>
          <w:sz w:val="22"/>
          <w:szCs w:val="22"/>
          <w:highlight w:val="cyan"/>
        </w:rPr>
        <w:lastRenderedPageBreak/>
        <w:tab/>
      </w:r>
      <w:r w:rsidRPr="0039341D">
        <w:rPr>
          <w:sz w:val="22"/>
          <w:szCs w:val="22"/>
          <w:highlight w:val="cyan"/>
        </w:rPr>
        <w:tab/>
      </w:r>
      <w:r w:rsidRPr="0039341D">
        <w:rPr>
          <w:b/>
          <w:bCs/>
          <w:i/>
          <w:iCs/>
          <w:sz w:val="22"/>
          <w:szCs w:val="22"/>
          <w:highlight w:val="cyan"/>
        </w:rPr>
        <w:t>Group B</w:t>
      </w:r>
      <w:r w:rsidRPr="0039341D">
        <w:rPr>
          <w:sz w:val="22"/>
          <w:szCs w:val="22"/>
          <w:highlight w:val="cyan"/>
        </w:rPr>
        <w:t xml:space="preserve"> 32 years of qualified health care service credit at any age or 31 years of </w:t>
      </w:r>
    </w:p>
    <w:p w14:paraId="330EBD1D" w14:textId="77777777" w:rsidR="00346A5A" w:rsidRPr="0039341D" w:rsidRDefault="00346A5A" w:rsidP="00346A5A">
      <w:pPr>
        <w:ind w:left="720" w:firstLine="720"/>
        <w:jc w:val="both"/>
        <w:rPr>
          <w:sz w:val="22"/>
          <w:szCs w:val="22"/>
          <w:highlight w:val="cyan"/>
        </w:rPr>
      </w:pPr>
      <w:r w:rsidRPr="0039341D">
        <w:rPr>
          <w:sz w:val="22"/>
          <w:szCs w:val="22"/>
          <w:highlight w:val="cyan"/>
        </w:rPr>
        <w:t xml:space="preserve">qualified heath care service credit and at least age 52; </w:t>
      </w:r>
    </w:p>
    <w:p w14:paraId="5779BD7A" w14:textId="77777777" w:rsidR="00346A5A" w:rsidRPr="0039341D" w:rsidRDefault="00346A5A" w:rsidP="00346A5A">
      <w:pPr>
        <w:ind w:left="720" w:firstLine="720"/>
        <w:jc w:val="both"/>
        <w:rPr>
          <w:sz w:val="22"/>
          <w:szCs w:val="22"/>
          <w:highlight w:val="cyan"/>
        </w:rPr>
      </w:pPr>
    </w:p>
    <w:p w14:paraId="7466D725" w14:textId="77777777" w:rsidR="00346A5A" w:rsidRPr="0039341D" w:rsidRDefault="00346A5A" w:rsidP="00346A5A">
      <w:pPr>
        <w:ind w:left="1440"/>
        <w:jc w:val="both"/>
        <w:rPr>
          <w:b/>
          <w:bCs/>
          <w:i/>
          <w:iCs/>
          <w:sz w:val="22"/>
          <w:szCs w:val="22"/>
          <w:highlight w:val="cyan"/>
        </w:rPr>
      </w:pPr>
      <w:r w:rsidRPr="0039341D">
        <w:rPr>
          <w:b/>
          <w:bCs/>
          <w:i/>
          <w:iCs/>
          <w:sz w:val="22"/>
          <w:szCs w:val="22"/>
          <w:highlight w:val="cyan"/>
        </w:rPr>
        <w:t xml:space="preserve">Group C </w:t>
      </w:r>
      <w:r w:rsidRPr="0039341D">
        <w:rPr>
          <w:sz w:val="22"/>
          <w:szCs w:val="22"/>
          <w:highlight w:val="cyan"/>
        </w:rPr>
        <w:t xml:space="preserve">32 years of qualified health care service credit and at least page 55.  </w:t>
      </w:r>
    </w:p>
    <w:p w14:paraId="2858A0E0" w14:textId="77777777" w:rsidR="00346A5A" w:rsidRPr="0039341D" w:rsidRDefault="00346A5A" w:rsidP="00346A5A">
      <w:pPr>
        <w:jc w:val="both"/>
        <w:rPr>
          <w:sz w:val="22"/>
          <w:szCs w:val="22"/>
          <w:highlight w:val="cyan"/>
        </w:rPr>
      </w:pPr>
      <w:r w:rsidRPr="0039341D">
        <w:rPr>
          <w:sz w:val="22"/>
          <w:szCs w:val="22"/>
          <w:highlight w:val="cyan"/>
        </w:rPr>
        <w:tab/>
      </w:r>
    </w:p>
    <w:p w14:paraId="6B2083B8" w14:textId="77777777" w:rsidR="00346A5A" w:rsidRPr="0039341D" w:rsidRDefault="00346A5A" w:rsidP="00346A5A">
      <w:pPr>
        <w:jc w:val="both"/>
        <w:rPr>
          <w:sz w:val="22"/>
          <w:szCs w:val="22"/>
          <w:highlight w:val="cyan"/>
        </w:rPr>
      </w:pPr>
      <w:r w:rsidRPr="0039341D">
        <w:rPr>
          <w:sz w:val="22"/>
          <w:szCs w:val="22"/>
          <w:highlight w:val="cyan"/>
        </w:rPr>
        <w:t xml:space="preserve">Retirees who do not meet the requirement for coverage as a non-Medicare participant can become eligible </w:t>
      </w:r>
    </w:p>
    <w:p w14:paraId="596A1B95" w14:textId="77777777" w:rsidR="00346A5A" w:rsidRPr="0039341D" w:rsidRDefault="00346A5A" w:rsidP="00346A5A">
      <w:pPr>
        <w:jc w:val="both"/>
        <w:rPr>
          <w:sz w:val="22"/>
          <w:szCs w:val="22"/>
          <w:highlight w:val="cyan"/>
        </w:rPr>
      </w:pPr>
      <w:r w:rsidRPr="0039341D">
        <w:rPr>
          <w:sz w:val="22"/>
          <w:szCs w:val="22"/>
          <w:highlight w:val="cyan"/>
        </w:rPr>
        <w:t xml:space="preserve">for coverage at age 65 if they have at least 20 years of qualifying service. </w:t>
      </w:r>
    </w:p>
    <w:p w14:paraId="56B11924" w14:textId="77777777" w:rsidR="00346A5A" w:rsidRPr="0039341D" w:rsidRDefault="00346A5A" w:rsidP="00346A5A">
      <w:pPr>
        <w:jc w:val="both"/>
        <w:rPr>
          <w:sz w:val="22"/>
          <w:szCs w:val="22"/>
          <w:highlight w:val="cyan"/>
        </w:rPr>
      </w:pPr>
    </w:p>
    <w:p w14:paraId="631E5723" w14:textId="77777777" w:rsidR="00346A5A" w:rsidRPr="0039341D" w:rsidRDefault="00346A5A" w:rsidP="00346A5A">
      <w:pPr>
        <w:jc w:val="both"/>
        <w:rPr>
          <w:sz w:val="22"/>
          <w:szCs w:val="22"/>
          <w:highlight w:val="cyan"/>
        </w:rPr>
      </w:pPr>
      <w:r w:rsidRPr="0039341D">
        <w:rPr>
          <w:sz w:val="22"/>
          <w:szCs w:val="22"/>
          <w:highlight w:val="cyan"/>
        </w:rPr>
        <w:t>Members with a retirement date prior to January 1, 2022, who were eligible to participate in the OPERS health care program will continue to be eligible after January 1, 2022, as summarized in the following table:</w:t>
      </w:r>
    </w:p>
    <w:p w14:paraId="1E01CA7C" w14:textId="77777777" w:rsidR="00346A5A" w:rsidRPr="0039341D" w:rsidRDefault="00346A5A" w:rsidP="00346A5A">
      <w:pPr>
        <w:jc w:val="both"/>
        <w:rPr>
          <w:sz w:val="22"/>
          <w:szCs w:val="22"/>
          <w:highlight w:val="cyan"/>
        </w:rPr>
      </w:pPr>
    </w:p>
    <w:p w14:paraId="45C1B8AF" w14:textId="77777777" w:rsidR="00346A5A" w:rsidRPr="0039341D" w:rsidRDefault="00346A5A" w:rsidP="00346A5A">
      <w:pPr>
        <w:jc w:val="both"/>
        <w:rPr>
          <w:sz w:val="22"/>
          <w:szCs w:val="22"/>
          <w:highlight w:val="cyan"/>
        </w:rPr>
      </w:pPr>
    </w:p>
    <w:bookmarkStart w:id="171" w:name="_MON_1516437969"/>
    <w:bookmarkEnd w:id="171"/>
    <w:p w14:paraId="33D6EFE9" w14:textId="759C247A" w:rsidR="00346A5A" w:rsidRPr="0039341D" w:rsidRDefault="00AD2932" w:rsidP="00346A5A">
      <w:pPr>
        <w:ind w:right="-1440" w:hanging="1440"/>
        <w:jc w:val="center"/>
        <w:rPr>
          <w:sz w:val="22"/>
          <w:szCs w:val="22"/>
          <w:highlight w:val="cyan"/>
        </w:rPr>
      </w:pPr>
      <w:r w:rsidRPr="0039341D">
        <w:rPr>
          <w:sz w:val="22"/>
          <w:szCs w:val="22"/>
          <w:highlight w:val="cyan"/>
        </w:rPr>
        <w:object w:dxaOrig="9912" w:dyaOrig="2223" w14:anchorId="0545E218">
          <v:shape id="_x0000_i1036" type="#_x0000_t75" style="width:465pt;height:110.4pt" o:ole="">
            <v:imagedata r:id="rId37" o:title=""/>
          </v:shape>
          <o:OLEObject Type="Embed" ProgID="Excel.Sheet.12" ShapeID="_x0000_i1036" DrawAspect="Content" ObjectID="_1798480938" r:id="rId38"/>
        </w:object>
      </w:r>
    </w:p>
    <w:p w14:paraId="57BE8B6B" w14:textId="77777777" w:rsidR="00346A5A" w:rsidRPr="0039341D" w:rsidRDefault="00346A5A" w:rsidP="00346A5A">
      <w:pPr>
        <w:jc w:val="both"/>
        <w:rPr>
          <w:sz w:val="22"/>
          <w:szCs w:val="22"/>
          <w:highlight w:val="cyan"/>
        </w:rPr>
      </w:pPr>
    </w:p>
    <w:p w14:paraId="43F7768A" w14:textId="77777777" w:rsidR="00346A5A" w:rsidRPr="0039341D" w:rsidRDefault="00346A5A" w:rsidP="00346A5A">
      <w:pPr>
        <w:jc w:val="both"/>
        <w:rPr>
          <w:sz w:val="22"/>
          <w:szCs w:val="22"/>
          <w:highlight w:val="cyan"/>
        </w:rPr>
      </w:pPr>
      <w:r w:rsidRPr="0039341D">
        <w:rPr>
          <w:sz w:val="22"/>
          <w:szCs w:val="22"/>
          <w:highlight w:val="cyan"/>
        </w:rPr>
        <w:t>See the Age and Service Retirement section of the OPERS ACFR for a description of Groups A, B and C.</w:t>
      </w:r>
    </w:p>
    <w:p w14:paraId="078B70D7" w14:textId="77777777" w:rsidR="00346A5A" w:rsidRPr="0039341D" w:rsidRDefault="00346A5A" w:rsidP="00346A5A">
      <w:pPr>
        <w:jc w:val="both"/>
        <w:rPr>
          <w:sz w:val="22"/>
          <w:szCs w:val="22"/>
          <w:highlight w:val="cyan"/>
        </w:rPr>
      </w:pPr>
    </w:p>
    <w:p w14:paraId="0B74A061" w14:textId="77777777" w:rsidR="00346A5A" w:rsidRPr="0039341D" w:rsidRDefault="00346A5A" w:rsidP="00346A5A">
      <w:pPr>
        <w:jc w:val="both"/>
        <w:rPr>
          <w:sz w:val="22"/>
          <w:szCs w:val="22"/>
          <w:highlight w:val="cyan"/>
        </w:rPr>
      </w:pPr>
      <w:r w:rsidRPr="0039341D">
        <w:rPr>
          <w:sz w:val="22"/>
          <w:szCs w:val="22"/>
          <w:highlight w:val="cyan"/>
        </w:rPr>
        <w:t>Eligible retirees may receive a monthly HRA allowance for reimbursement of health care coverage premiums and other qualified medical expenses. Monthly allowances, based on years of service and the age at which the retiree first enrolled in OPERS coverage, are provided to eligible retirees, and are deposited into their HRA account.</w:t>
      </w:r>
    </w:p>
    <w:p w14:paraId="14396C87" w14:textId="77777777" w:rsidR="00346A5A" w:rsidRPr="0039341D" w:rsidRDefault="00346A5A" w:rsidP="00346A5A">
      <w:pPr>
        <w:jc w:val="both"/>
        <w:rPr>
          <w:sz w:val="22"/>
          <w:szCs w:val="22"/>
          <w:highlight w:val="cyan"/>
        </w:rPr>
      </w:pPr>
    </w:p>
    <w:p w14:paraId="7A052EDD" w14:textId="77777777" w:rsidR="00346A5A" w:rsidRDefault="00346A5A" w:rsidP="00346A5A">
      <w:pPr>
        <w:jc w:val="both"/>
        <w:rPr>
          <w:sz w:val="22"/>
          <w:szCs w:val="22"/>
          <w:highlight w:val="cyan"/>
        </w:rPr>
      </w:pPr>
      <w:r w:rsidRPr="0039341D">
        <w:rPr>
          <w:sz w:val="22"/>
          <w:szCs w:val="22"/>
          <w:highlight w:val="cyan"/>
        </w:rPr>
        <w:t>The base allowance is determined by OPERS and is currently $1,200 per month for non-Medicare retirees and $350 per month for Medicare retirees. The retiree receives a percentage of the base allowance, calculated based on years of qualifying service credit and age when the retiree first enrolled in OPERS health care. Monthly allowances range between 51 percent and 90 percent of the base allowance for both non-Medicare and Medicare retirees.</w:t>
      </w:r>
    </w:p>
    <w:p w14:paraId="33E3BA7D" w14:textId="77777777" w:rsidR="00346A5A" w:rsidRPr="0039341D" w:rsidRDefault="00346A5A" w:rsidP="00346A5A">
      <w:pPr>
        <w:jc w:val="both"/>
        <w:rPr>
          <w:sz w:val="22"/>
          <w:szCs w:val="22"/>
          <w:highlight w:val="cyan"/>
        </w:rPr>
      </w:pPr>
    </w:p>
    <w:p w14:paraId="42761DF5" w14:textId="77777777" w:rsidR="00346A5A" w:rsidRPr="0039341D" w:rsidRDefault="00346A5A" w:rsidP="00346A5A">
      <w:pPr>
        <w:jc w:val="both"/>
        <w:rPr>
          <w:sz w:val="22"/>
          <w:szCs w:val="22"/>
          <w:highlight w:val="cyan"/>
        </w:rPr>
      </w:pPr>
      <w:r w:rsidRPr="0039341D">
        <w:rPr>
          <w:sz w:val="22"/>
          <w:szCs w:val="22"/>
          <w:highlight w:val="cyan"/>
        </w:rPr>
        <w:t>Retirees will have access to the OPERS Connector, which is a relationship with a vendor selected by OPERS to assist retirees participating in the health care program. The OPERS Connector may assist retirees in selecting and enrolling in the appropriate health care plan.</w:t>
      </w:r>
    </w:p>
    <w:p w14:paraId="486823F5" w14:textId="77777777" w:rsidR="00346A5A" w:rsidRPr="0039341D" w:rsidRDefault="00346A5A" w:rsidP="00346A5A">
      <w:pPr>
        <w:jc w:val="both"/>
        <w:rPr>
          <w:sz w:val="22"/>
          <w:szCs w:val="22"/>
          <w:highlight w:val="cyan"/>
        </w:rPr>
      </w:pPr>
    </w:p>
    <w:p w14:paraId="5E3853AE" w14:textId="77777777" w:rsidR="00346A5A" w:rsidRPr="0039341D" w:rsidRDefault="00346A5A" w:rsidP="00346A5A">
      <w:pPr>
        <w:jc w:val="both"/>
        <w:rPr>
          <w:sz w:val="22"/>
          <w:szCs w:val="22"/>
          <w:highlight w:val="cyan"/>
        </w:rPr>
      </w:pPr>
      <w:r w:rsidRPr="0039341D">
        <w:rPr>
          <w:sz w:val="22"/>
          <w:szCs w:val="22"/>
          <w:highlight w:val="cyan"/>
        </w:rPr>
        <w:t>When members become Medicare-eligible, recipients enrolled in OPERS health care programs must enroll in Medicare Part A (hospitalization) and Medicare Part B (medical).</w:t>
      </w:r>
    </w:p>
    <w:p w14:paraId="31EF26B5" w14:textId="77777777" w:rsidR="00346A5A" w:rsidRPr="0039341D" w:rsidRDefault="00346A5A" w:rsidP="00346A5A">
      <w:pPr>
        <w:jc w:val="both"/>
        <w:rPr>
          <w:sz w:val="22"/>
          <w:szCs w:val="22"/>
          <w:highlight w:val="cyan"/>
        </w:rPr>
      </w:pPr>
    </w:p>
    <w:p w14:paraId="3EACC831" w14:textId="77777777" w:rsidR="00346A5A" w:rsidRPr="0039341D" w:rsidRDefault="00346A5A" w:rsidP="00346A5A">
      <w:pPr>
        <w:jc w:val="both"/>
        <w:rPr>
          <w:sz w:val="22"/>
          <w:szCs w:val="22"/>
          <w:highlight w:val="cyan"/>
        </w:rPr>
      </w:pPr>
      <w:r w:rsidRPr="0039341D">
        <w:rPr>
          <w:sz w:val="22"/>
          <w:szCs w:val="22"/>
          <w:highlight w:val="cyan"/>
        </w:rPr>
        <w:t>OPERS reimburses retirees who are not eligible for premium-free Medicare Part A (hospitalization) for their Part A premiums as well as any applicable surcharges (late-enrollment fees). Retirees within this group must enroll in Medicare Part A and select medical coverage, and may select prescription coverage, through the OPERS Connector. OPERS also will reimburse 50 percent of the Medicare Part A premium and any applicable surcharges for eligible spouses. Proof of enrollment in Medicare Part A and confirmation that the retiree is not receiving reimbursement or payment from another source must be submitted. The premium reimbursement is added to the monthly pension benefit.</w:t>
      </w:r>
    </w:p>
    <w:p w14:paraId="6F73CA57" w14:textId="77777777" w:rsidR="00346A5A" w:rsidRPr="0039341D" w:rsidRDefault="00346A5A" w:rsidP="00346A5A">
      <w:pPr>
        <w:jc w:val="both"/>
        <w:rPr>
          <w:sz w:val="22"/>
          <w:szCs w:val="22"/>
          <w:highlight w:val="cyan"/>
        </w:rPr>
      </w:pPr>
      <w:r w:rsidRPr="0039341D">
        <w:rPr>
          <w:sz w:val="22"/>
          <w:szCs w:val="22"/>
          <w:highlight w:val="cyan"/>
        </w:rPr>
        <w:lastRenderedPageBreak/>
        <w:t xml:space="preserve">Participants in the Member-Directed Plan have access to the Connector and have a separate health care funding mechanism. A portion of employer contributions for these participants is allocated to a retiree medical account (RMA). Members who elect the Member-Directed Plan after July 1, 2015, will vest in the RMA over 15 years at a rate of 10 percent each year starting with the sixth year of participation. Members who elected the Member-Directed Plan prior to July 1, 2015, vest in the RMA over a five-year period at a rate of 20 percent per year. Upon separation or retirement, participants may use vested RMA funds for reimbursement of qualified medical expenses. </w:t>
      </w:r>
    </w:p>
    <w:p w14:paraId="48266331" w14:textId="77777777" w:rsidR="00346A5A" w:rsidRPr="0039341D" w:rsidRDefault="00346A5A" w:rsidP="00346A5A">
      <w:pPr>
        <w:jc w:val="both"/>
        <w:rPr>
          <w:sz w:val="22"/>
          <w:szCs w:val="22"/>
          <w:highlight w:val="cyan"/>
        </w:rPr>
      </w:pPr>
    </w:p>
    <w:p w14:paraId="03B824BF" w14:textId="77777777" w:rsidR="00346A5A" w:rsidRDefault="00346A5A" w:rsidP="00346A5A">
      <w:pPr>
        <w:jc w:val="both"/>
        <w:rPr>
          <w:sz w:val="22"/>
          <w:szCs w:val="22"/>
          <w:highlight w:val="cyan"/>
        </w:rPr>
      </w:pPr>
      <w:r w:rsidRPr="0039341D">
        <w:rPr>
          <w:sz w:val="22"/>
          <w:szCs w:val="22"/>
          <w:highlight w:val="cyan"/>
        </w:rPr>
        <w:t xml:space="preserve">Disclosures for the health care plan are presented separately in the OPERS financial report.  Interested parties may obtain a copy by visiting </w:t>
      </w:r>
      <w:hyperlink r:id="rId39" w:history="1">
        <w:r w:rsidRPr="0039341D">
          <w:rPr>
            <w:color w:val="0000FF"/>
            <w:sz w:val="22"/>
            <w:szCs w:val="22"/>
            <w:highlight w:val="cyan"/>
            <w:u w:val="single"/>
          </w:rPr>
          <w:t>https://www.opers.org/financial/reports.shtml</w:t>
        </w:r>
      </w:hyperlink>
      <w:r w:rsidRPr="0039341D">
        <w:rPr>
          <w:color w:val="0000FF"/>
          <w:sz w:val="22"/>
          <w:szCs w:val="22"/>
          <w:highlight w:val="cyan"/>
          <w:u w:val="single"/>
        </w:rPr>
        <w:t>,</w:t>
      </w:r>
      <w:r w:rsidRPr="0039341D">
        <w:rPr>
          <w:sz w:val="22"/>
          <w:szCs w:val="22"/>
          <w:highlight w:val="cyan"/>
        </w:rPr>
        <w:t xml:space="preserve"> by writing to OPERS, 277 East Town Street, Columbus, Ohio 43215-4642, or by calling (614) 222-5601 or 800-222-7377.</w:t>
      </w:r>
    </w:p>
    <w:p w14:paraId="40AF4085" w14:textId="77777777" w:rsidR="003E1671" w:rsidRPr="0039341D" w:rsidRDefault="003E1671" w:rsidP="00346A5A">
      <w:pPr>
        <w:jc w:val="both"/>
        <w:rPr>
          <w:sz w:val="22"/>
          <w:szCs w:val="22"/>
          <w:highlight w:val="cyan"/>
        </w:rPr>
      </w:pPr>
    </w:p>
    <w:p w14:paraId="577C0753" w14:textId="77777777" w:rsidR="00346A5A" w:rsidRPr="0039341D" w:rsidRDefault="00346A5A" w:rsidP="00346A5A">
      <w:pPr>
        <w:jc w:val="both"/>
        <w:rPr>
          <w:sz w:val="22"/>
          <w:szCs w:val="22"/>
          <w:highlight w:val="cyan"/>
        </w:rPr>
      </w:pPr>
      <w:r w:rsidRPr="0039341D">
        <w:rPr>
          <w:sz w:val="22"/>
          <w:szCs w:val="22"/>
          <w:highlight w:val="cyan"/>
        </w:rPr>
        <w:t xml:space="preserve">Funding Policy - The Ohio Revised Code provides the statutory authority allowing public employers to fund postemployment health care through their contributions to OPERS.  When funding is approved by OPERS Board of Trustees, a portion of each employer’s contribution to OPERS is set aside to fund OPERS health care plans.  Beginning in 2018, OPERS no longer allocated a portion of its employer contributions to health care for the traditional plan.  </w:t>
      </w:r>
    </w:p>
    <w:p w14:paraId="4C31DC42" w14:textId="77777777" w:rsidR="00346A5A" w:rsidRPr="0039341D" w:rsidRDefault="00346A5A" w:rsidP="00346A5A">
      <w:pPr>
        <w:jc w:val="both"/>
        <w:rPr>
          <w:sz w:val="22"/>
          <w:szCs w:val="22"/>
          <w:highlight w:val="cyan"/>
        </w:rPr>
      </w:pPr>
    </w:p>
    <w:p w14:paraId="2FDBB967" w14:textId="77777777" w:rsidR="00346A5A" w:rsidRPr="0039341D" w:rsidRDefault="00346A5A" w:rsidP="00346A5A">
      <w:pPr>
        <w:jc w:val="both"/>
        <w:rPr>
          <w:sz w:val="22"/>
          <w:szCs w:val="22"/>
          <w:highlight w:val="cyan"/>
        </w:rPr>
      </w:pPr>
      <w:r w:rsidRPr="0039341D">
        <w:rPr>
          <w:sz w:val="22"/>
          <w:szCs w:val="22"/>
          <w:highlight w:val="cyan"/>
        </w:rPr>
        <w:t>Employer contribution rates are expressed as a percentage of the earnable salary of active members.  For fiscal year 2024, state and local employers contributed at a rate of 14.0 percent of earnable salary.  These are the maximum employer contribution rates permitted by the Ohio Revised Code.  Active member contributions do not fund health care.</w:t>
      </w:r>
    </w:p>
    <w:p w14:paraId="1B646DB3" w14:textId="77777777" w:rsidR="00346A5A" w:rsidRPr="0039341D" w:rsidRDefault="00346A5A" w:rsidP="00346A5A">
      <w:pPr>
        <w:jc w:val="both"/>
        <w:rPr>
          <w:sz w:val="22"/>
          <w:szCs w:val="22"/>
          <w:highlight w:val="cyan"/>
        </w:rPr>
      </w:pPr>
    </w:p>
    <w:p w14:paraId="7EFE5E28" w14:textId="76D1383A" w:rsidR="00EA33C6" w:rsidRPr="00EA33C6" w:rsidRDefault="00346A5A" w:rsidP="00346A5A">
      <w:pPr>
        <w:widowControl/>
        <w:autoSpaceDE/>
        <w:autoSpaceDN/>
        <w:adjustRightInd/>
        <w:jc w:val="both"/>
        <w:rPr>
          <w:sz w:val="22"/>
          <w:szCs w:val="22"/>
        </w:rPr>
      </w:pPr>
      <w:r w:rsidRPr="0039341D">
        <w:rPr>
          <w:sz w:val="22"/>
          <w:szCs w:val="22"/>
          <w:highlight w:val="cyan"/>
        </w:rPr>
        <w:t>Each year, the OPERS Board determines the portion of the employer contribution rate that will be set aside to fund health care plans. For 2024, OPERS did not allocate any employer contribution to health care for members in the Traditional Pension Plan.  Beginning July 1, 2022, there was a two percent allocation to health care for the Combined Plan which has continued through 2024.  The OPERS Board is also authorized to establish rules for the retiree or their surviving beneficiaries to pay a portion of the health care provided. Payment amounts vary depending on the number of covered dependents and the coverage selected. The employer contribution as a percentage of covered payroll deposited into the RMA for participants in the member-directed plan for 2024 was 4.0 percent.  Effective July 1, 2022, a portion of the health care rate was funded with reserves which has continued through 2024.</w:t>
      </w:r>
    </w:p>
    <w:p w14:paraId="7F6F1020" w14:textId="77777777" w:rsidR="00EA33C6" w:rsidRPr="00EA33C6" w:rsidRDefault="00EA33C6" w:rsidP="00EA33C6">
      <w:pPr>
        <w:widowControl/>
        <w:autoSpaceDE/>
        <w:autoSpaceDN/>
        <w:adjustRightInd/>
        <w:jc w:val="both"/>
        <w:rPr>
          <w:sz w:val="22"/>
          <w:szCs w:val="22"/>
        </w:rPr>
      </w:pPr>
    </w:p>
    <w:p w14:paraId="62CA9588" w14:textId="5069413B" w:rsidR="00EA33C6" w:rsidRPr="00EA33C6" w:rsidRDefault="00EA33C6" w:rsidP="00EA33C6">
      <w:pPr>
        <w:widowControl/>
        <w:autoSpaceDE/>
        <w:autoSpaceDN/>
        <w:adjustRightInd/>
        <w:jc w:val="both"/>
        <w:rPr>
          <w:sz w:val="22"/>
          <w:szCs w:val="22"/>
        </w:rPr>
      </w:pPr>
      <w:r w:rsidRPr="00EA33C6">
        <w:rPr>
          <w:sz w:val="22"/>
          <w:szCs w:val="22"/>
        </w:rPr>
        <w:t xml:space="preserve">Employer contribution rates are actuarially determined and are expressed as a percentage of covered payroll.  </w:t>
      </w:r>
      <w:r w:rsidRPr="00EA33C6">
        <w:rPr>
          <w:sz w:val="22"/>
          <w:szCs w:val="22"/>
          <w:highlight w:val="green"/>
        </w:rPr>
        <w:t xml:space="preserve">The </w:t>
      </w:r>
      <w:r w:rsidR="00844E5A">
        <w:rPr>
          <w:sz w:val="22"/>
          <w:szCs w:val="22"/>
          <w:highlight w:val="green"/>
        </w:rPr>
        <w:t>Library’s</w:t>
      </w:r>
      <w:r w:rsidRPr="00EA33C6">
        <w:rPr>
          <w:sz w:val="22"/>
          <w:szCs w:val="22"/>
          <w:highlight w:val="green"/>
        </w:rPr>
        <w:t xml:space="preserve"> contractually required contribution was $XX,XXX for 20CY</w:t>
      </w:r>
      <w:r w:rsidRPr="00EA33C6">
        <w:rPr>
          <w:sz w:val="22"/>
          <w:szCs w:val="22"/>
        </w:rPr>
        <w:t>.</w:t>
      </w:r>
    </w:p>
    <w:p w14:paraId="23132B34" w14:textId="77777777" w:rsidR="00445ACE" w:rsidRDefault="00445ACE" w:rsidP="00533678">
      <w:pPr>
        <w:widowControl/>
        <w:jc w:val="both"/>
        <w:rPr>
          <w:b/>
          <w:bCs/>
          <w:sz w:val="24"/>
          <w:szCs w:val="24"/>
        </w:rPr>
      </w:pPr>
    </w:p>
    <w:p w14:paraId="4725761B" w14:textId="77777777" w:rsidR="00445ACE" w:rsidRDefault="00445ACE" w:rsidP="00533678">
      <w:pPr>
        <w:widowControl/>
        <w:jc w:val="both"/>
        <w:rPr>
          <w:b/>
          <w:bCs/>
          <w:sz w:val="24"/>
          <w:szCs w:val="24"/>
        </w:rPr>
      </w:pPr>
    </w:p>
    <w:p w14:paraId="7DB1FD2E" w14:textId="316D3F63" w:rsidR="00B606B1" w:rsidRPr="00CC75EE" w:rsidRDefault="00B606B1" w:rsidP="00533678">
      <w:pPr>
        <w:widowControl/>
        <w:jc w:val="both"/>
        <w:rPr>
          <w:sz w:val="24"/>
          <w:szCs w:val="24"/>
        </w:rPr>
      </w:pPr>
      <w:r w:rsidRPr="00CC75EE">
        <w:rPr>
          <w:b/>
          <w:bCs/>
          <w:sz w:val="24"/>
          <w:szCs w:val="24"/>
        </w:rPr>
        <w:t>Note 1</w:t>
      </w:r>
      <w:r w:rsidR="0004241E">
        <w:rPr>
          <w:b/>
          <w:bCs/>
          <w:sz w:val="24"/>
          <w:szCs w:val="24"/>
        </w:rPr>
        <w:t>1</w:t>
      </w:r>
      <w:r w:rsidRPr="00CC75EE">
        <w:rPr>
          <w:b/>
          <w:bCs/>
          <w:sz w:val="24"/>
          <w:szCs w:val="24"/>
        </w:rPr>
        <w:t xml:space="preserve"> </w:t>
      </w:r>
      <w:r w:rsidR="004F4755" w:rsidRPr="005374C3">
        <w:rPr>
          <w:b/>
          <w:sz w:val="24"/>
          <w:szCs w:val="24"/>
        </w:rPr>
        <w:t>–</w:t>
      </w:r>
      <w:r w:rsidRPr="00CC75EE">
        <w:rPr>
          <w:b/>
          <w:bCs/>
          <w:sz w:val="24"/>
          <w:szCs w:val="24"/>
        </w:rPr>
        <w:t xml:space="preserve"> </w:t>
      </w:r>
      <w:r w:rsidR="0004241E">
        <w:rPr>
          <w:b/>
          <w:bCs/>
          <w:sz w:val="24"/>
          <w:szCs w:val="24"/>
        </w:rPr>
        <w:t>Debt</w:t>
      </w:r>
    </w:p>
    <w:p w14:paraId="304ACAD8" w14:textId="77777777" w:rsidR="00501291" w:rsidRDefault="00501291" w:rsidP="00533678">
      <w:pPr>
        <w:widowControl/>
        <w:tabs>
          <w:tab w:val="left" w:pos="0"/>
          <w:tab w:val="left" w:pos="547"/>
          <w:tab w:val="left" w:pos="936"/>
          <w:tab w:val="left" w:pos="1440"/>
          <w:tab w:val="left" w:pos="1987"/>
        </w:tabs>
        <w:rPr>
          <w:bCs/>
          <w:sz w:val="22"/>
          <w:szCs w:val="22"/>
          <w:highlight w:val="yellow"/>
        </w:rPr>
      </w:pPr>
    </w:p>
    <w:p w14:paraId="40548122" w14:textId="77777777" w:rsidR="00501291" w:rsidRPr="0000098D" w:rsidRDefault="00501291" w:rsidP="00533678">
      <w:pPr>
        <w:widowControl/>
        <w:tabs>
          <w:tab w:val="left" w:pos="0"/>
          <w:tab w:val="left" w:pos="547"/>
          <w:tab w:val="left" w:pos="936"/>
          <w:tab w:val="left" w:pos="1440"/>
          <w:tab w:val="left" w:pos="1987"/>
        </w:tabs>
        <w:rPr>
          <w:bCs/>
          <w:sz w:val="22"/>
          <w:szCs w:val="22"/>
        </w:rPr>
      </w:pPr>
      <w:r w:rsidRPr="0000098D">
        <w:rPr>
          <w:bCs/>
          <w:sz w:val="22"/>
          <w:szCs w:val="22"/>
          <w:highlight w:val="yellow"/>
        </w:rPr>
        <w:t>[</w:t>
      </w:r>
      <w:r w:rsidRPr="0000098D">
        <w:rPr>
          <w:i/>
          <w:sz w:val="22"/>
          <w:szCs w:val="22"/>
          <w:highlight w:val="yellow"/>
        </w:rPr>
        <w:t xml:space="preserve">Review GASB Codification 1500, Reporting Liabilities, paragraph .129 Debt Obligations for guidance.  </w:t>
      </w:r>
      <w:r w:rsidRPr="0000098D">
        <w:rPr>
          <w:bCs/>
          <w:sz w:val="22"/>
          <w:szCs w:val="22"/>
          <w:highlight w:val="yellow"/>
        </w:rPr>
        <w:t>Delete footnote if your Library does not have Debt.]</w:t>
      </w:r>
    </w:p>
    <w:p w14:paraId="04EAC5D4" w14:textId="77777777" w:rsidR="00501291" w:rsidRPr="0000098D" w:rsidRDefault="00501291" w:rsidP="00533678">
      <w:pPr>
        <w:widowControl/>
        <w:tabs>
          <w:tab w:val="left" w:pos="0"/>
          <w:tab w:val="left" w:pos="547"/>
          <w:tab w:val="left" w:pos="907"/>
          <w:tab w:val="left" w:pos="1440"/>
          <w:tab w:val="left" w:pos="1987"/>
          <w:tab w:val="right" w:pos="4950"/>
          <w:tab w:val="right" w:pos="6390"/>
          <w:tab w:val="right" w:pos="7830"/>
          <w:tab w:val="right" w:pos="9270"/>
        </w:tabs>
        <w:ind w:left="547"/>
        <w:jc w:val="both"/>
        <w:rPr>
          <w:sz w:val="22"/>
          <w:szCs w:val="22"/>
        </w:rPr>
      </w:pPr>
    </w:p>
    <w:p w14:paraId="3DB40CA4" w14:textId="77777777" w:rsidR="002E52EE" w:rsidRPr="0000098D" w:rsidRDefault="00501291" w:rsidP="00533678">
      <w:pPr>
        <w:widowControl/>
        <w:tabs>
          <w:tab w:val="left" w:pos="0"/>
          <w:tab w:val="left" w:pos="547"/>
          <w:tab w:val="left" w:pos="907"/>
          <w:tab w:val="left" w:pos="1440"/>
          <w:tab w:val="left" w:pos="1987"/>
        </w:tabs>
        <w:ind w:left="547"/>
        <w:jc w:val="both"/>
        <w:rPr>
          <w:i/>
          <w:iCs/>
          <w:sz w:val="22"/>
          <w:szCs w:val="22"/>
        </w:rPr>
      </w:pPr>
      <w:r w:rsidRPr="0000098D">
        <w:rPr>
          <w:i/>
          <w:iCs/>
          <w:sz w:val="22"/>
          <w:szCs w:val="22"/>
          <w:highlight w:val="yellow"/>
        </w:rPr>
        <w:t>Note: County library districts and regional library districts can issue any securities authorized by ORC 133.  Other libraries can only issue TANs &amp; RANs, though they may have debt issued by the taxing authority of the subdivision to whose jurisdiction the Library is subject.  In such instance, the debt is normally a liability of the taxing authority, not the library.  Such debt should not be listed here as a library liability.  However, consider disclosing that the debt has been issued on the library’s behalf, and whether the library has any contingent obligation for repayment.]</w:t>
      </w:r>
    </w:p>
    <w:p w14:paraId="3F55B304" w14:textId="77777777" w:rsidR="002E52EE" w:rsidRDefault="002E52EE" w:rsidP="00533678">
      <w:pPr>
        <w:widowControl/>
        <w:jc w:val="both"/>
        <w:rPr>
          <w:b/>
          <w:i/>
          <w:sz w:val="22"/>
          <w:szCs w:val="22"/>
        </w:rPr>
      </w:pPr>
    </w:p>
    <w:p w14:paraId="55C16636" w14:textId="77777777" w:rsidR="002E52EE" w:rsidRPr="00EB1B3D" w:rsidRDefault="002E52EE" w:rsidP="00533678">
      <w:pPr>
        <w:widowControl/>
        <w:jc w:val="both"/>
        <w:rPr>
          <w:sz w:val="22"/>
          <w:szCs w:val="22"/>
          <w:highlight w:val="yellow"/>
        </w:rPr>
      </w:pPr>
      <w:r w:rsidRPr="00EB1B3D">
        <w:rPr>
          <w:sz w:val="22"/>
          <w:szCs w:val="22"/>
          <w:highlight w:val="yellow"/>
        </w:rPr>
        <w:lastRenderedPageBreak/>
        <w:t>GASB 88 requires the following disclosures:</w:t>
      </w:r>
    </w:p>
    <w:p w14:paraId="777B0393" w14:textId="77777777" w:rsidR="002E52EE" w:rsidRPr="00EB1B3D" w:rsidRDefault="002E52EE" w:rsidP="00533678">
      <w:pPr>
        <w:widowControl/>
        <w:jc w:val="both"/>
        <w:rPr>
          <w:sz w:val="22"/>
          <w:szCs w:val="22"/>
          <w:highlight w:val="yellow"/>
        </w:rPr>
      </w:pPr>
    </w:p>
    <w:p w14:paraId="45451610" w14:textId="77777777" w:rsidR="002E52EE" w:rsidRPr="00EB1B3D" w:rsidRDefault="002E52EE" w:rsidP="00533678">
      <w:pPr>
        <w:widowControl/>
        <w:jc w:val="both"/>
        <w:rPr>
          <w:sz w:val="22"/>
          <w:szCs w:val="22"/>
          <w:highlight w:val="yellow"/>
        </w:rPr>
      </w:pPr>
      <w:r w:rsidRPr="00EB1B3D">
        <w:rPr>
          <w:sz w:val="22"/>
          <w:szCs w:val="22"/>
          <w:highlight w:val="yellow"/>
        </w:rPr>
        <w:t>In addition to other requirements to disclose information related to debt in notes to financial statements, a government should disclose in notes to financial statements summarized information about the following items:</w:t>
      </w:r>
    </w:p>
    <w:p w14:paraId="066C40CD" w14:textId="77777777" w:rsidR="002E52EE" w:rsidRPr="00EB1B3D" w:rsidRDefault="002E52EE" w:rsidP="00533678">
      <w:pPr>
        <w:widowControl/>
        <w:jc w:val="both"/>
        <w:rPr>
          <w:sz w:val="22"/>
          <w:szCs w:val="22"/>
          <w:highlight w:val="yellow"/>
        </w:rPr>
      </w:pPr>
    </w:p>
    <w:p w14:paraId="01FEBBEA" w14:textId="77777777" w:rsidR="002E52EE" w:rsidRPr="00EB1B3D" w:rsidRDefault="002E52EE" w:rsidP="00533678">
      <w:pPr>
        <w:widowControl/>
        <w:ind w:firstLine="720"/>
        <w:jc w:val="both"/>
        <w:rPr>
          <w:sz w:val="22"/>
          <w:szCs w:val="22"/>
          <w:highlight w:val="yellow"/>
        </w:rPr>
      </w:pPr>
      <w:r w:rsidRPr="00EB1B3D">
        <w:rPr>
          <w:sz w:val="22"/>
          <w:szCs w:val="22"/>
          <w:highlight w:val="yellow"/>
        </w:rPr>
        <w:t xml:space="preserve">a. </w:t>
      </w:r>
      <w:r w:rsidRPr="00EB1B3D">
        <w:rPr>
          <w:sz w:val="22"/>
          <w:szCs w:val="22"/>
          <w:highlight w:val="yellow"/>
        </w:rPr>
        <w:tab/>
        <w:t>Amount of unused lines of credit</w:t>
      </w:r>
    </w:p>
    <w:p w14:paraId="247B9F68" w14:textId="77777777" w:rsidR="002E52EE" w:rsidRPr="00EB1B3D" w:rsidRDefault="002E52EE" w:rsidP="00533678">
      <w:pPr>
        <w:widowControl/>
        <w:ind w:firstLine="720"/>
        <w:jc w:val="both"/>
        <w:rPr>
          <w:sz w:val="22"/>
          <w:szCs w:val="22"/>
          <w:highlight w:val="yellow"/>
        </w:rPr>
      </w:pPr>
      <w:r w:rsidRPr="00EB1B3D">
        <w:rPr>
          <w:sz w:val="22"/>
          <w:szCs w:val="22"/>
          <w:highlight w:val="yellow"/>
        </w:rPr>
        <w:t xml:space="preserve">b. </w:t>
      </w:r>
      <w:r w:rsidRPr="00EB1B3D">
        <w:rPr>
          <w:sz w:val="22"/>
          <w:szCs w:val="22"/>
          <w:highlight w:val="yellow"/>
        </w:rPr>
        <w:tab/>
        <w:t>Assets pledged as collateral for debt</w:t>
      </w:r>
    </w:p>
    <w:p w14:paraId="359F1062" w14:textId="77777777" w:rsidR="002E52EE" w:rsidRPr="00EB1B3D" w:rsidRDefault="002E52EE" w:rsidP="00533678">
      <w:pPr>
        <w:widowControl/>
        <w:ind w:left="1440" w:hanging="720"/>
        <w:jc w:val="both"/>
        <w:rPr>
          <w:sz w:val="22"/>
          <w:szCs w:val="22"/>
          <w:highlight w:val="yellow"/>
        </w:rPr>
      </w:pPr>
      <w:r w:rsidRPr="00EB1B3D">
        <w:rPr>
          <w:sz w:val="22"/>
          <w:szCs w:val="22"/>
          <w:highlight w:val="yellow"/>
        </w:rPr>
        <w:t xml:space="preserve">c. </w:t>
      </w:r>
      <w:r w:rsidRPr="00EB1B3D">
        <w:rPr>
          <w:sz w:val="22"/>
          <w:szCs w:val="22"/>
          <w:highlight w:val="yellow"/>
        </w:rPr>
        <w:tab/>
        <w:t>Terms specified in debt agreements related to significant (1) events of default with finance-related consequences, (2) termination events with finance related consequences, and (3) subjective acceleration clauses.</w:t>
      </w:r>
    </w:p>
    <w:p w14:paraId="3244418A" w14:textId="77777777" w:rsidR="002E52EE" w:rsidRPr="00EB1B3D" w:rsidRDefault="002E52EE" w:rsidP="00533678">
      <w:pPr>
        <w:widowControl/>
        <w:jc w:val="both"/>
        <w:rPr>
          <w:sz w:val="22"/>
          <w:szCs w:val="22"/>
          <w:highlight w:val="yellow"/>
        </w:rPr>
      </w:pPr>
    </w:p>
    <w:p w14:paraId="7F931EF9" w14:textId="77777777" w:rsidR="002E52EE" w:rsidRPr="009A6254" w:rsidRDefault="002E52EE" w:rsidP="00533678">
      <w:pPr>
        <w:widowControl/>
        <w:jc w:val="both"/>
        <w:rPr>
          <w:sz w:val="22"/>
          <w:szCs w:val="22"/>
        </w:rPr>
      </w:pPr>
      <w:r w:rsidRPr="00EB1B3D">
        <w:rPr>
          <w:sz w:val="22"/>
          <w:szCs w:val="22"/>
          <w:highlight w:val="yellow"/>
        </w:rPr>
        <w:t>In notes to financial statements, a government should separate information in debt disclosures regarding (a) direct borrowings and direct placements of debt from (b) other debt.</w:t>
      </w:r>
    </w:p>
    <w:p w14:paraId="0EC20869" w14:textId="77777777" w:rsidR="00807281" w:rsidRDefault="00807281" w:rsidP="00533678">
      <w:pPr>
        <w:widowControl/>
        <w:jc w:val="both"/>
        <w:rPr>
          <w:b/>
          <w:i/>
          <w:sz w:val="22"/>
          <w:szCs w:val="22"/>
        </w:rPr>
      </w:pPr>
    </w:p>
    <w:p w14:paraId="4A18407A" w14:textId="45ACBC56" w:rsidR="0004241E" w:rsidRPr="000B0377" w:rsidRDefault="0004241E" w:rsidP="00533678">
      <w:pPr>
        <w:widowControl/>
        <w:jc w:val="both"/>
        <w:rPr>
          <w:b/>
          <w:i/>
          <w:sz w:val="22"/>
          <w:szCs w:val="22"/>
        </w:rPr>
      </w:pPr>
      <w:r w:rsidRPr="000B0377">
        <w:rPr>
          <w:b/>
          <w:i/>
          <w:sz w:val="22"/>
          <w:szCs w:val="22"/>
        </w:rPr>
        <w:t>Notes Payable</w:t>
      </w:r>
    </w:p>
    <w:p w14:paraId="1F6E5247" w14:textId="77777777" w:rsidR="0004241E" w:rsidRDefault="0004241E" w:rsidP="00533678">
      <w:pPr>
        <w:widowControl/>
        <w:jc w:val="both"/>
        <w:rPr>
          <w:sz w:val="22"/>
          <w:szCs w:val="22"/>
        </w:rPr>
      </w:pPr>
    </w:p>
    <w:p w14:paraId="7063DCD3" w14:textId="77777777" w:rsidR="00EA33C6" w:rsidRPr="00D930DB" w:rsidRDefault="00EA33C6" w:rsidP="00EA33C6">
      <w:pPr>
        <w:jc w:val="both"/>
        <w:rPr>
          <w:sz w:val="22"/>
          <w:szCs w:val="22"/>
        </w:rPr>
      </w:pPr>
      <w:r w:rsidRPr="00D930DB">
        <w:rPr>
          <w:sz w:val="22"/>
          <w:szCs w:val="22"/>
          <w:highlight w:val="yellow"/>
        </w:rPr>
        <w:t>Delete note if not applicable.</w:t>
      </w:r>
    </w:p>
    <w:p w14:paraId="6601DC0D" w14:textId="77777777" w:rsidR="00EA33C6" w:rsidRPr="005374C3" w:rsidRDefault="00EA33C6" w:rsidP="00533678">
      <w:pPr>
        <w:widowControl/>
        <w:jc w:val="both"/>
        <w:rPr>
          <w:sz w:val="22"/>
          <w:szCs w:val="22"/>
        </w:rPr>
      </w:pPr>
    </w:p>
    <w:p w14:paraId="66572BFB" w14:textId="77777777" w:rsidR="00B606B1" w:rsidRPr="005374C3" w:rsidRDefault="00B606B1" w:rsidP="00533678">
      <w:pPr>
        <w:widowControl/>
        <w:jc w:val="both"/>
        <w:rPr>
          <w:sz w:val="22"/>
          <w:szCs w:val="22"/>
        </w:rPr>
      </w:pPr>
      <w:r w:rsidRPr="005374C3">
        <w:rPr>
          <w:sz w:val="22"/>
          <w:szCs w:val="22"/>
        </w:rPr>
        <w:t>A summary of the note transactions for the year ended December 31, 20</w:t>
      </w:r>
      <w:r w:rsidR="003B5327" w:rsidRPr="004F4755">
        <w:rPr>
          <w:sz w:val="22"/>
          <w:szCs w:val="22"/>
          <w:highlight w:val="green"/>
        </w:rPr>
        <w:t>CY</w:t>
      </w:r>
      <w:r w:rsidRPr="005374C3">
        <w:rPr>
          <w:sz w:val="22"/>
          <w:szCs w:val="22"/>
        </w:rPr>
        <w:t>, follows:</w:t>
      </w:r>
    </w:p>
    <w:p w14:paraId="393F333F" w14:textId="77777777" w:rsidR="00356A7F" w:rsidRPr="002F02C2" w:rsidRDefault="00356A7F" w:rsidP="00533678">
      <w:pPr>
        <w:widowControl/>
        <w:jc w:val="center"/>
        <w:rPr>
          <w:sz w:val="22"/>
          <w:szCs w:val="22"/>
        </w:rPr>
      </w:pPr>
    </w:p>
    <w:bookmarkStart w:id="172" w:name="_MON_1352790615"/>
    <w:bookmarkStart w:id="173" w:name="_MON_1369477125"/>
    <w:bookmarkStart w:id="174" w:name="_MON_1387625420"/>
    <w:bookmarkStart w:id="175" w:name="_MON_1337498937"/>
    <w:bookmarkStart w:id="176" w:name="_MON_1337499214"/>
    <w:bookmarkStart w:id="177" w:name="_MON_1341820226"/>
    <w:bookmarkStart w:id="178" w:name="_MON_1342966931"/>
    <w:bookmarkStart w:id="179" w:name="_MON_1349608949"/>
    <w:bookmarkStart w:id="180" w:name="_MON_1349609046"/>
    <w:bookmarkStart w:id="181" w:name="_MON_1350816274"/>
    <w:bookmarkEnd w:id="172"/>
    <w:bookmarkEnd w:id="173"/>
    <w:bookmarkEnd w:id="174"/>
    <w:bookmarkEnd w:id="175"/>
    <w:bookmarkEnd w:id="176"/>
    <w:bookmarkEnd w:id="177"/>
    <w:bookmarkEnd w:id="178"/>
    <w:bookmarkEnd w:id="179"/>
    <w:bookmarkEnd w:id="180"/>
    <w:bookmarkEnd w:id="181"/>
    <w:bookmarkStart w:id="182" w:name="_MON_1352716941"/>
    <w:bookmarkEnd w:id="182"/>
    <w:p w14:paraId="489DC36A" w14:textId="2916069C" w:rsidR="00356A7F" w:rsidRPr="002F7ACE" w:rsidRDefault="00AD2932" w:rsidP="005336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4F4755">
        <w:rPr>
          <w:sz w:val="22"/>
          <w:szCs w:val="22"/>
          <w:highlight w:val="green"/>
        </w:rPr>
        <w:object w:dxaOrig="8986" w:dyaOrig="1362" w14:anchorId="6D8BECE0">
          <v:shape id="_x0000_i1037" type="#_x0000_t75" style="width:449.4pt;height:68.4pt" o:ole="">
            <v:imagedata r:id="rId40" o:title=""/>
          </v:shape>
          <o:OLEObject Type="Embed" ProgID="Excel.Sheet.8" ShapeID="_x0000_i1037" DrawAspect="Content" ObjectID="_1798480939" r:id="rId41"/>
        </w:object>
      </w:r>
    </w:p>
    <w:p w14:paraId="128DCFD9" w14:textId="77777777" w:rsidR="00F83893" w:rsidRDefault="00F83893" w:rsidP="00533678">
      <w:pPr>
        <w:widowControl/>
        <w:jc w:val="both"/>
        <w:rPr>
          <w:i/>
          <w:sz w:val="22"/>
          <w:szCs w:val="22"/>
          <w:highlight w:val="yellow"/>
        </w:rPr>
      </w:pPr>
    </w:p>
    <w:p w14:paraId="19B7CB8B" w14:textId="77777777" w:rsidR="00EA33C6" w:rsidRDefault="00EA33C6" w:rsidP="00EA33C6">
      <w:pPr>
        <w:jc w:val="both"/>
        <w:rPr>
          <w:sz w:val="22"/>
          <w:szCs w:val="22"/>
        </w:rPr>
      </w:pPr>
      <w:r w:rsidRPr="00D930DB">
        <w:rPr>
          <w:sz w:val="22"/>
          <w:szCs w:val="22"/>
          <w:highlight w:val="yellow"/>
        </w:rPr>
        <w:t>(Describe the purpose for which the note was issued.)</w:t>
      </w:r>
      <w:r w:rsidRPr="00D930DB">
        <w:rPr>
          <w:i/>
          <w:sz w:val="22"/>
          <w:szCs w:val="22"/>
        </w:rPr>
        <w:t xml:space="preserve">  </w:t>
      </w:r>
      <w:r w:rsidRPr="00D930DB">
        <w:rPr>
          <w:sz w:val="22"/>
          <w:szCs w:val="22"/>
          <w:highlight w:val="green"/>
        </w:rPr>
        <w:t xml:space="preserve">All note proceeds had been spent </w:t>
      </w:r>
      <w:proofErr w:type="gramStart"/>
      <w:r w:rsidRPr="00D930DB">
        <w:rPr>
          <w:sz w:val="22"/>
          <w:szCs w:val="22"/>
          <w:highlight w:val="green"/>
        </w:rPr>
        <w:t>at</w:t>
      </w:r>
      <w:proofErr w:type="gramEnd"/>
      <w:r w:rsidRPr="00D930DB">
        <w:rPr>
          <w:sz w:val="22"/>
          <w:szCs w:val="22"/>
          <w:highlight w:val="green"/>
        </w:rPr>
        <w:t xml:space="preserve"> December 31, 20CY.</w:t>
      </w:r>
      <w:r w:rsidRPr="00D930DB">
        <w:rPr>
          <w:sz w:val="22"/>
          <w:szCs w:val="22"/>
        </w:rPr>
        <w:t xml:space="preserve"> </w:t>
      </w:r>
    </w:p>
    <w:p w14:paraId="32D188CC" w14:textId="77777777" w:rsidR="00B606B1" w:rsidRDefault="00B606B1" w:rsidP="00533678">
      <w:pPr>
        <w:widowControl/>
        <w:jc w:val="both"/>
        <w:rPr>
          <w:b/>
          <w:sz w:val="22"/>
          <w:szCs w:val="22"/>
        </w:rPr>
      </w:pPr>
    </w:p>
    <w:p w14:paraId="2B79CD82" w14:textId="77777777" w:rsidR="002755D9" w:rsidRDefault="002755D9" w:rsidP="00533678">
      <w:pPr>
        <w:widowControl/>
        <w:jc w:val="both"/>
        <w:rPr>
          <w:sz w:val="22"/>
          <w:szCs w:val="22"/>
        </w:rPr>
      </w:pPr>
      <w:r w:rsidRPr="00204A2C">
        <w:rPr>
          <w:sz w:val="22"/>
          <w:szCs w:val="22"/>
          <w:highlight w:val="green"/>
        </w:rPr>
        <w:t>The Library’s outstanding notes from direct borrowings and direct placements related to governmental activities of $XXX contain a provision that in an event of default, outstanding amounts become immediately due if the Library is unable to make payment.</w:t>
      </w:r>
    </w:p>
    <w:p w14:paraId="7ACDAE11" w14:textId="77777777" w:rsidR="002755D9" w:rsidRDefault="002755D9" w:rsidP="00533678">
      <w:pPr>
        <w:widowControl/>
        <w:jc w:val="both"/>
        <w:rPr>
          <w:b/>
          <w:sz w:val="22"/>
          <w:szCs w:val="22"/>
        </w:rPr>
      </w:pPr>
    </w:p>
    <w:p w14:paraId="3F9BCB12" w14:textId="77777777" w:rsidR="00B606B1" w:rsidRPr="002E52EE" w:rsidRDefault="006859E2" w:rsidP="00533678">
      <w:pPr>
        <w:widowControl/>
        <w:jc w:val="both"/>
        <w:rPr>
          <w:b/>
          <w:i/>
          <w:sz w:val="22"/>
          <w:szCs w:val="24"/>
        </w:rPr>
      </w:pPr>
      <w:r w:rsidRPr="002E52EE">
        <w:rPr>
          <w:b/>
          <w:i/>
          <w:sz w:val="22"/>
          <w:szCs w:val="24"/>
        </w:rPr>
        <w:t>Construction and Improvement of Facilities</w:t>
      </w:r>
    </w:p>
    <w:p w14:paraId="56CA45FB" w14:textId="77777777" w:rsidR="00B606B1" w:rsidRPr="005374C3" w:rsidRDefault="00B606B1" w:rsidP="00533678">
      <w:pPr>
        <w:widowControl/>
        <w:jc w:val="both"/>
        <w:rPr>
          <w:sz w:val="22"/>
          <w:szCs w:val="22"/>
        </w:rPr>
      </w:pPr>
    </w:p>
    <w:p w14:paraId="28EBA339" w14:textId="77777777" w:rsidR="00A8087C" w:rsidRPr="0004241E" w:rsidRDefault="006859E2" w:rsidP="00533678">
      <w:pPr>
        <w:widowControl/>
        <w:jc w:val="both"/>
        <w:rPr>
          <w:sz w:val="22"/>
          <w:szCs w:val="22"/>
          <w:highlight w:val="green"/>
        </w:rPr>
      </w:pPr>
      <w:r w:rsidRPr="0004241E">
        <w:rPr>
          <w:sz w:val="22"/>
          <w:szCs w:val="22"/>
          <w:highlight w:val="green"/>
        </w:rPr>
        <w:t>In 20</w:t>
      </w:r>
      <w:r w:rsidR="002E52EE">
        <w:rPr>
          <w:sz w:val="22"/>
          <w:szCs w:val="22"/>
          <w:highlight w:val="green"/>
        </w:rPr>
        <w:t>XX</w:t>
      </w:r>
      <w:r w:rsidRPr="0004241E">
        <w:rPr>
          <w:sz w:val="22"/>
          <w:szCs w:val="22"/>
          <w:highlight w:val="green"/>
        </w:rPr>
        <w:t xml:space="preserve">, the Board of Library Trustees of </w:t>
      </w:r>
      <w:r w:rsidR="00AA71C5" w:rsidRPr="0004241E">
        <w:rPr>
          <w:sz w:val="22"/>
          <w:szCs w:val="22"/>
          <w:highlight w:val="green"/>
        </w:rPr>
        <w:t>XYZ Public Library</w:t>
      </w:r>
      <w:r w:rsidRPr="0004241E">
        <w:rPr>
          <w:sz w:val="22"/>
          <w:szCs w:val="22"/>
          <w:highlight w:val="green"/>
        </w:rPr>
        <w:t xml:space="preserve"> submitted to </w:t>
      </w:r>
      <w:r w:rsidR="00AA71C5" w:rsidRPr="0004241E">
        <w:rPr>
          <w:sz w:val="22"/>
          <w:szCs w:val="22"/>
          <w:highlight w:val="green"/>
        </w:rPr>
        <w:t>XYZ School</w:t>
      </w:r>
      <w:r w:rsidRPr="0004241E">
        <w:rPr>
          <w:sz w:val="22"/>
          <w:szCs w:val="22"/>
          <w:highlight w:val="green"/>
        </w:rPr>
        <w:t xml:space="preserve"> District a bond issue to be used for improvements to the Library System.  </w:t>
      </w:r>
      <w:r w:rsidR="000D67A3" w:rsidRPr="0004241E">
        <w:rPr>
          <w:sz w:val="22"/>
          <w:szCs w:val="22"/>
          <w:highlight w:val="green"/>
        </w:rPr>
        <w:t>Ohio</w:t>
      </w:r>
      <w:r w:rsidR="00A8087C" w:rsidRPr="0004241E">
        <w:rPr>
          <w:sz w:val="22"/>
          <w:szCs w:val="22"/>
          <w:highlight w:val="green"/>
        </w:rPr>
        <w:t xml:space="preserve"> Local Scho</w:t>
      </w:r>
      <w:r w:rsidR="00CA5BCD" w:rsidRPr="0004241E">
        <w:rPr>
          <w:sz w:val="22"/>
          <w:szCs w:val="22"/>
          <w:highlight w:val="green"/>
        </w:rPr>
        <w:t>o</w:t>
      </w:r>
      <w:r w:rsidR="00A8087C" w:rsidRPr="0004241E">
        <w:rPr>
          <w:sz w:val="22"/>
          <w:szCs w:val="22"/>
          <w:highlight w:val="green"/>
        </w:rPr>
        <w:t xml:space="preserve">l District serves as the taxing authority </w:t>
      </w:r>
      <w:r w:rsidRPr="0004241E">
        <w:rPr>
          <w:sz w:val="22"/>
          <w:szCs w:val="22"/>
          <w:highlight w:val="green"/>
        </w:rPr>
        <w:t xml:space="preserve">and issues tax related debt on behalf of the Library, although their role is limited to a ministerial function.  </w:t>
      </w:r>
      <w:r w:rsidR="00A8087C" w:rsidRPr="0004241E">
        <w:rPr>
          <w:sz w:val="22"/>
          <w:szCs w:val="22"/>
          <w:highlight w:val="green"/>
        </w:rPr>
        <w:t>The determination to request approval of a tax levy, the rate</w:t>
      </w:r>
      <w:r w:rsidRPr="0004241E">
        <w:rPr>
          <w:sz w:val="22"/>
          <w:szCs w:val="22"/>
          <w:highlight w:val="green"/>
        </w:rPr>
        <w:t>,</w:t>
      </w:r>
      <w:r w:rsidR="00A8087C" w:rsidRPr="0004241E">
        <w:rPr>
          <w:sz w:val="22"/>
          <w:szCs w:val="22"/>
          <w:highlight w:val="green"/>
        </w:rPr>
        <w:t xml:space="preserve"> and the purpose are discretionary decisions made solely by the Library Board of Trustees.</w:t>
      </w:r>
    </w:p>
    <w:p w14:paraId="72E190E7" w14:textId="77777777" w:rsidR="00A8087C" w:rsidRPr="0004241E" w:rsidRDefault="00A8087C" w:rsidP="00533678">
      <w:pPr>
        <w:widowControl/>
        <w:jc w:val="both"/>
        <w:rPr>
          <w:sz w:val="22"/>
          <w:szCs w:val="22"/>
          <w:highlight w:val="green"/>
        </w:rPr>
      </w:pPr>
    </w:p>
    <w:p w14:paraId="5280EDE5" w14:textId="77777777" w:rsidR="00A8087C" w:rsidRPr="005374C3" w:rsidRDefault="006859E2" w:rsidP="00533678">
      <w:pPr>
        <w:widowControl/>
        <w:jc w:val="both"/>
        <w:rPr>
          <w:sz w:val="22"/>
          <w:szCs w:val="22"/>
        </w:rPr>
      </w:pPr>
      <w:r w:rsidRPr="0004241E">
        <w:rPr>
          <w:sz w:val="22"/>
          <w:szCs w:val="22"/>
          <w:highlight w:val="green"/>
        </w:rPr>
        <w:t>With approval of the bond issue in 20</w:t>
      </w:r>
      <w:r w:rsidR="002E52EE">
        <w:rPr>
          <w:sz w:val="22"/>
          <w:szCs w:val="22"/>
          <w:highlight w:val="green"/>
        </w:rPr>
        <w:t>XX</w:t>
      </w:r>
      <w:r w:rsidRPr="0004241E">
        <w:rPr>
          <w:sz w:val="22"/>
          <w:szCs w:val="22"/>
          <w:highlight w:val="green"/>
        </w:rPr>
        <w:t>, the School District issued bond anticipation notes for Library improvements in the amount of $X,XXX,XXX in 20</w:t>
      </w:r>
      <w:r w:rsidR="002E52EE">
        <w:rPr>
          <w:sz w:val="22"/>
          <w:szCs w:val="22"/>
          <w:highlight w:val="green"/>
        </w:rPr>
        <w:t>XX</w:t>
      </w:r>
      <w:r w:rsidRPr="0004241E">
        <w:rPr>
          <w:sz w:val="22"/>
          <w:szCs w:val="22"/>
          <w:highlight w:val="green"/>
        </w:rPr>
        <w:t xml:space="preserve"> and  $X,XXX,XXX in 20X2.  During 20X2, the notes were rolled into bonds.  Because the bonds are general obligation of </w:t>
      </w:r>
      <w:r w:rsidR="00AA71C5" w:rsidRPr="0004241E">
        <w:rPr>
          <w:sz w:val="22"/>
          <w:szCs w:val="22"/>
          <w:highlight w:val="green"/>
        </w:rPr>
        <w:t>XYZ School</w:t>
      </w:r>
      <w:r w:rsidRPr="0004241E">
        <w:rPr>
          <w:sz w:val="22"/>
          <w:szCs w:val="22"/>
          <w:highlight w:val="green"/>
        </w:rPr>
        <w:t xml:space="preserve"> District, the long-term obligation is excluded from the general long-term obligations of the Library.  The receipt and expenditure of the proceeds from the property tax levy for the retirement of the debt is reflected in the School D</w:t>
      </w:r>
      <w:r w:rsidR="002E52EE">
        <w:rPr>
          <w:sz w:val="22"/>
          <w:szCs w:val="22"/>
          <w:highlight w:val="green"/>
        </w:rPr>
        <w:t>istrict’s bond retirement fund.</w:t>
      </w:r>
      <w:r w:rsidR="00A8087C" w:rsidRPr="0004241E">
        <w:rPr>
          <w:sz w:val="22"/>
          <w:szCs w:val="22"/>
          <w:highlight w:val="green"/>
        </w:rPr>
        <w:t xml:space="preserve">  As of June </w:t>
      </w:r>
      <w:r w:rsidR="003B5327" w:rsidRPr="0004241E">
        <w:rPr>
          <w:sz w:val="22"/>
          <w:szCs w:val="22"/>
          <w:highlight w:val="green"/>
        </w:rPr>
        <w:t>3</w:t>
      </w:r>
      <w:r w:rsidR="00A8087C" w:rsidRPr="0004241E">
        <w:rPr>
          <w:sz w:val="22"/>
          <w:szCs w:val="22"/>
          <w:highlight w:val="green"/>
        </w:rPr>
        <w:t>0, 20</w:t>
      </w:r>
      <w:r w:rsidR="003B5327" w:rsidRPr="0004241E">
        <w:rPr>
          <w:sz w:val="22"/>
          <w:szCs w:val="22"/>
          <w:highlight w:val="green"/>
        </w:rPr>
        <w:t>CY</w:t>
      </w:r>
      <w:r w:rsidR="004F4755">
        <w:rPr>
          <w:sz w:val="22"/>
          <w:szCs w:val="22"/>
          <w:highlight w:val="green"/>
        </w:rPr>
        <w:t>,</w:t>
      </w:r>
      <w:r w:rsidR="00A8087C" w:rsidRPr="0004241E">
        <w:rPr>
          <w:sz w:val="22"/>
          <w:szCs w:val="22"/>
          <w:highlight w:val="green"/>
        </w:rPr>
        <w:t xml:space="preserve"> (the latest information available) </w:t>
      </w:r>
      <w:r w:rsidR="008E2EDE" w:rsidRPr="0004241E">
        <w:rPr>
          <w:sz w:val="22"/>
          <w:szCs w:val="22"/>
          <w:highlight w:val="green"/>
        </w:rPr>
        <w:t xml:space="preserve">principal outstanding was </w:t>
      </w:r>
      <w:r w:rsidR="00A8087C" w:rsidRPr="0004241E">
        <w:rPr>
          <w:sz w:val="22"/>
          <w:szCs w:val="22"/>
          <w:highlight w:val="green"/>
        </w:rPr>
        <w:t>$____________.</w:t>
      </w:r>
    </w:p>
    <w:p w14:paraId="3E0EF977" w14:textId="77777777" w:rsidR="0041006A" w:rsidRPr="00EA33C6" w:rsidRDefault="0041006A" w:rsidP="0041006A">
      <w:pPr>
        <w:widowControl/>
        <w:autoSpaceDE/>
        <w:autoSpaceDN/>
        <w:adjustRightInd/>
        <w:rPr>
          <w:b/>
          <w:bCs/>
          <w:i/>
          <w:sz w:val="24"/>
          <w:szCs w:val="24"/>
        </w:rPr>
      </w:pPr>
      <w:r w:rsidRPr="00EA33C6">
        <w:rPr>
          <w:b/>
          <w:bCs/>
          <w:i/>
          <w:sz w:val="24"/>
          <w:szCs w:val="24"/>
        </w:rPr>
        <w:lastRenderedPageBreak/>
        <w:t>Financed Purchases</w:t>
      </w:r>
    </w:p>
    <w:p w14:paraId="5F851AA0" w14:textId="77777777" w:rsidR="0041006A" w:rsidRPr="00EA33C6" w:rsidRDefault="0041006A" w:rsidP="0041006A">
      <w:pPr>
        <w:widowControl/>
        <w:autoSpaceDE/>
        <w:autoSpaceDN/>
        <w:adjustRightInd/>
        <w:rPr>
          <w:bCs/>
          <w:sz w:val="22"/>
          <w:szCs w:val="22"/>
        </w:rPr>
      </w:pPr>
    </w:p>
    <w:p w14:paraId="105B6882" w14:textId="3AC3A03D" w:rsidR="0041006A" w:rsidRPr="00EA33C6" w:rsidRDefault="0041006A" w:rsidP="0041006A">
      <w:pPr>
        <w:widowControl/>
        <w:autoSpaceDE/>
        <w:autoSpaceDN/>
        <w:adjustRightInd/>
        <w:jc w:val="both"/>
        <w:rPr>
          <w:bCs/>
          <w:sz w:val="22"/>
          <w:szCs w:val="22"/>
        </w:rPr>
      </w:pPr>
      <w:r w:rsidRPr="001A5B45">
        <w:rPr>
          <w:bCs/>
          <w:sz w:val="22"/>
          <w:szCs w:val="22"/>
          <w:highlight w:val="yellow"/>
        </w:rPr>
        <w:t>(Disclose material financed purchases.</w:t>
      </w:r>
      <w:r w:rsidR="00AE0ACE" w:rsidRPr="001A5B45">
        <w:rPr>
          <w:bCs/>
          <w:sz w:val="22"/>
          <w:szCs w:val="22"/>
          <w:highlight w:val="yellow"/>
        </w:rPr>
        <w:t>)</w:t>
      </w:r>
      <w:r w:rsidRPr="00EA33C6">
        <w:rPr>
          <w:bCs/>
          <w:sz w:val="22"/>
          <w:szCs w:val="22"/>
        </w:rPr>
        <w:t xml:space="preserve">  </w:t>
      </w:r>
    </w:p>
    <w:p w14:paraId="1DC50AC9" w14:textId="77777777" w:rsidR="0041006A" w:rsidRPr="00EA33C6" w:rsidRDefault="0041006A" w:rsidP="0041006A">
      <w:pPr>
        <w:widowControl/>
        <w:autoSpaceDE/>
        <w:autoSpaceDN/>
        <w:adjustRightInd/>
        <w:jc w:val="both"/>
        <w:rPr>
          <w:bCs/>
          <w:sz w:val="22"/>
          <w:szCs w:val="22"/>
        </w:rPr>
      </w:pPr>
    </w:p>
    <w:p w14:paraId="2B3B8668" w14:textId="2C19777B" w:rsidR="0041006A" w:rsidRPr="00EA33C6" w:rsidRDefault="0041006A" w:rsidP="0041006A">
      <w:pPr>
        <w:widowControl/>
        <w:autoSpaceDE/>
        <w:autoSpaceDN/>
        <w:adjustRightInd/>
        <w:jc w:val="both"/>
        <w:rPr>
          <w:bCs/>
          <w:sz w:val="22"/>
          <w:szCs w:val="22"/>
        </w:rPr>
      </w:pPr>
      <w:r w:rsidRPr="00EA33C6">
        <w:rPr>
          <w:bCs/>
          <w:sz w:val="22"/>
          <w:szCs w:val="22"/>
          <w:highlight w:val="green"/>
        </w:rPr>
        <w:t xml:space="preserve">The </w:t>
      </w:r>
      <w:proofErr w:type="gramStart"/>
      <w:r w:rsidR="00E7549E" w:rsidRPr="00EA33C6">
        <w:rPr>
          <w:bCs/>
          <w:sz w:val="22"/>
          <w:szCs w:val="22"/>
          <w:highlight w:val="green"/>
        </w:rPr>
        <w:t>Library</w:t>
      </w:r>
      <w:proofErr w:type="gramEnd"/>
      <w:r w:rsidRPr="00EA33C6">
        <w:rPr>
          <w:bCs/>
          <w:sz w:val="22"/>
          <w:szCs w:val="22"/>
          <w:highlight w:val="green"/>
        </w:rPr>
        <w:t xml:space="preserve"> has entered into </w:t>
      </w:r>
      <w:r w:rsidR="00F25061" w:rsidRPr="00F25061">
        <w:rPr>
          <w:bCs/>
          <w:sz w:val="22"/>
          <w:szCs w:val="22"/>
          <w:highlight w:val="cyan"/>
        </w:rPr>
        <w:t>direct borrowing</w:t>
      </w:r>
      <w:r w:rsidR="00F25061">
        <w:rPr>
          <w:bCs/>
          <w:sz w:val="22"/>
          <w:szCs w:val="22"/>
          <w:highlight w:val="green"/>
        </w:rPr>
        <w:t xml:space="preserve"> </w:t>
      </w:r>
      <w:r w:rsidRPr="00EA33C6">
        <w:rPr>
          <w:bCs/>
          <w:sz w:val="22"/>
          <w:szCs w:val="22"/>
          <w:highlight w:val="green"/>
        </w:rPr>
        <w:t xml:space="preserve">financed purchases agreements for buildings, </w:t>
      </w:r>
      <w:r w:rsidR="000B7AB8" w:rsidRPr="00EA33C6">
        <w:rPr>
          <w:bCs/>
          <w:sz w:val="22"/>
          <w:szCs w:val="22"/>
          <w:highlight w:val="green"/>
        </w:rPr>
        <w:t>vehicles,</w:t>
      </w:r>
      <w:r w:rsidRPr="00EA33C6">
        <w:rPr>
          <w:bCs/>
          <w:sz w:val="22"/>
          <w:szCs w:val="22"/>
          <w:highlight w:val="green"/>
        </w:rPr>
        <w:t xml:space="preserve"> and other equipment (edit list as appropriate) where ownership of the underlying asset transfers to the </w:t>
      </w:r>
      <w:r w:rsidR="00E7549E" w:rsidRPr="00EA33C6">
        <w:rPr>
          <w:bCs/>
          <w:sz w:val="22"/>
          <w:szCs w:val="22"/>
          <w:highlight w:val="green"/>
        </w:rPr>
        <w:t>Library</w:t>
      </w:r>
      <w:r w:rsidRPr="00EA33C6">
        <w:rPr>
          <w:bCs/>
          <w:sz w:val="22"/>
          <w:szCs w:val="22"/>
          <w:highlight w:val="green"/>
        </w:rPr>
        <w:t xml:space="preserve"> by the end of the contract.  The </w:t>
      </w:r>
      <w:r w:rsidR="00E7549E" w:rsidRPr="00EA33C6">
        <w:rPr>
          <w:bCs/>
          <w:sz w:val="22"/>
          <w:szCs w:val="22"/>
          <w:highlight w:val="green"/>
        </w:rPr>
        <w:t>Library</w:t>
      </w:r>
      <w:r w:rsidRPr="00EA33C6">
        <w:rPr>
          <w:bCs/>
          <w:sz w:val="22"/>
          <w:szCs w:val="22"/>
          <w:highlight w:val="green"/>
        </w:rPr>
        <w:t xml:space="preserve"> disbursed $___________ to pay these costs for the fiscal year ended June 30, 20CY.  Future financed purchases payment are as follows</w:t>
      </w:r>
      <w:r w:rsidRPr="00EA33C6">
        <w:rPr>
          <w:bCs/>
          <w:sz w:val="22"/>
          <w:szCs w:val="22"/>
        </w:rPr>
        <w:t xml:space="preserve"> </w:t>
      </w:r>
      <w:r w:rsidRPr="00EA33C6">
        <w:rPr>
          <w:bCs/>
          <w:i/>
          <w:sz w:val="22"/>
          <w:szCs w:val="22"/>
          <w:highlight w:val="yellow"/>
        </w:rPr>
        <w:t>(next five</w:t>
      </w:r>
      <w:r w:rsidR="00431328">
        <w:rPr>
          <w:bCs/>
          <w:i/>
          <w:sz w:val="22"/>
          <w:szCs w:val="22"/>
          <w:highlight w:val="yellow"/>
        </w:rPr>
        <w:t>-</w:t>
      </w:r>
      <w:r w:rsidRPr="00EA33C6">
        <w:rPr>
          <w:bCs/>
          <w:i/>
          <w:sz w:val="22"/>
          <w:szCs w:val="22"/>
          <w:highlight w:val="yellow"/>
        </w:rPr>
        <w:t xml:space="preserve">years individually then </w:t>
      </w:r>
      <w:r w:rsidR="00431328" w:rsidRPr="00EA33C6">
        <w:rPr>
          <w:bCs/>
          <w:i/>
          <w:sz w:val="22"/>
          <w:szCs w:val="22"/>
          <w:highlight w:val="yellow"/>
        </w:rPr>
        <w:t>five-year</w:t>
      </w:r>
      <w:r w:rsidRPr="00EA33C6">
        <w:rPr>
          <w:bCs/>
          <w:i/>
          <w:sz w:val="22"/>
          <w:szCs w:val="22"/>
          <w:highlight w:val="yellow"/>
        </w:rPr>
        <w:t xml:space="preserve"> increments)</w:t>
      </w:r>
      <w:r w:rsidRPr="00EA33C6">
        <w:rPr>
          <w:bCs/>
          <w:sz w:val="22"/>
          <w:szCs w:val="22"/>
          <w:highlight w:val="yellow"/>
        </w:rPr>
        <w:t>:</w:t>
      </w:r>
    </w:p>
    <w:p w14:paraId="259FFEE7" w14:textId="77777777" w:rsidR="0041006A" w:rsidRPr="00EA33C6" w:rsidRDefault="0041006A" w:rsidP="0041006A">
      <w:pPr>
        <w:widowControl/>
        <w:autoSpaceDE/>
        <w:autoSpaceDN/>
        <w:adjustRightInd/>
        <w:jc w:val="center"/>
        <w:rPr>
          <w:bCs/>
          <w:sz w:val="22"/>
          <w:szCs w:val="22"/>
        </w:rPr>
      </w:pPr>
    </w:p>
    <w:bookmarkStart w:id="183" w:name="_MON_1381656939"/>
    <w:bookmarkStart w:id="184" w:name="_MON_1387615319"/>
    <w:bookmarkStart w:id="185" w:name="_MON_1349610165"/>
    <w:bookmarkEnd w:id="183"/>
    <w:bookmarkEnd w:id="184"/>
    <w:bookmarkEnd w:id="185"/>
    <w:bookmarkStart w:id="186" w:name="_MON_1349610194"/>
    <w:bookmarkEnd w:id="186"/>
    <w:p w14:paraId="5E2D74D3" w14:textId="3FAA6D9D" w:rsidR="00356A7F" w:rsidRDefault="0041006A" w:rsidP="00533678">
      <w:pPr>
        <w:widowControl/>
        <w:jc w:val="center"/>
        <w:rPr>
          <w:sz w:val="22"/>
          <w:szCs w:val="22"/>
        </w:rPr>
      </w:pPr>
      <w:r w:rsidRPr="00073773">
        <w:rPr>
          <w:noProof/>
          <w:sz w:val="22"/>
          <w:szCs w:val="22"/>
          <w:highlight w:val="green"/>
        </w:rPr>
        <w:object w:dxaOrig="3001" w:dyaOrig="2470" w14:anchorId="2C2C6442">
          <v:shape id="_x0000_i1038" type="#_x0000_t75" style="width:150pt;height:123.6pt" o:ole="">
            <v:imagedata r:id="rId42" o:title=""/>
          </v:shape>
          <o:OLEObject Type="Embed" ProgID="Excel.Sheet.8" ShapeID="_x0000_i1038" DrawAspect="Content" ObjectID="_1798480940" r:id="rId43"/>
        </w:object>
      </w:r>
      <w:bookmarkStart w:id="187" w:name="_MON_1350387901"/>
      <w:bookmarkStart w:id="188" w:name="_MON_1352717073"/>
      <w:bookmarkStart w:id="189" w:name="_MON_1387625437"/>
      <w:bookmarkStart w:id="190" w:name="_MON_1349084775"/>
      <w:bookmarkStart w:id="191" w:name="_MON_1349084885"/>
      <w:bookmarkStart w:id="192" w:name="_MON_1349084983"/>
      <w:bookmarkStart w:id="193" w:name="_MON_1349085028"/>
      <w:bookmarkEnd w:id="187"/>
      <w:bookmarkEnd w:id="188"/>
      <w:bookmarkEnd w:id="189"/>
      <w:bookmarkEnd w:id="190"/>
      <w:bookmarkEnd w:id="191"/>
      <w:bookmarkEnd w:id="192"/>
      <w:bookmarkEnd w:id="193"/>
    </w:p>
    <w:p w14:paraId="10E798D3" w14:textId="77777777" w:rsidR="004F4755" w:rsidRDefault="004F4755" w:rsidP="00533678">
      <w:pPr>
        <w:widowControl/>
        <w:jc w:val="center"/>
        <w:rPr>
          <w:sz w:val="22"/>
          <w:szCs w:val="22"/>
        </w:rPr>
      </w:pPr>
    </w:p>
    <w:p w14:paraId="1CA931D9" w14:textId="22B74BF4" w:rsidR="00EA33C6" w:rsidRDefault="00EA33C6" w:rsidP="002071D1">
      <w:pPr>
        <w:widowControl/>
        <w:autoSpaceDE/>
        <w:autoSpaceDN/>
        <w:adjustRightInd/>
        <w:jc w:val="both"/>
        <w:rPr>
          <w:sz w:val="22"/>
          <w:szCs w:val="22"/>
          <w:highlight w:val="yellow"/>
          <w:lang w:eastAsia="ja-JP"/>
        </w:rPr>
      </w:pPr>
      <w:r>
        <w:rPr>
          <w:sz w:val="22"/>
          <w:szCs w:val="22"/>
          <w:highlight w:val="yellow"/>
          <w:lang w:eastAsia="ja-JP"/>
        </w:rPr>
        <w:t>Note: GASB 94 APAs can have financed purchases.</w:t>
      </w:r>
    </w:p>
    <w:p w14:paraId="2A8131DF" w14:textId="77777777" w:rsidR="00EA33C6" w:rsidRDefault="00EA33C6" w:rsidP="002071D1">
      <w:pPr>
        <w:widowControl/>
        <w:autoSpaceDE/>
        <w:autoSpaceDN/>
        <w:adjustRightInd/>
        <w:jc w:val="both"/>
        <w:rPr>
          <w:sz w:val="22"/>
          <w:szCs w:val="22"/>
          <w:highlight w:val="yellow"/>
          <w:lang w:eastAsia="ja-JP"/>
        </w:rPr>
      </w:pPr>
    </w:p>
    <w:p w14:paraId="1FDE85C9" w14:textId="21EA09A8" w:rsidR="004F4755" w:rsidRDefault="001F5055" w:rsidP="002071D1">
      <w:pPr>
        <w:widowControl/>
        <w:autoSpaceDE/>
        <w:autoSpaceDN/>
        <w:adjustRightInd/>
        <w:jc w:val="both"/>
        <w:rPr>
          <w:sz w:val="22"/>
          <w:szCs w:val="22"/>
          <w:lang w:eastAsia="ja-JP"/>
        </w:rPr>
      </w:pPr>
      <w:r w:rsidRPr="001F5055">
        <w:rPr>
          <w:sz w:val="22"/>
          <w:szCs w:val="22"/>
          <w:highlight w:val="yellow"/>
          <w:lang w:eastAsia="ja-JP"/>
        </w:rPr>
        <w:t>Consider if any disclosures are required by GASB 88, including identifying direct placements and direct offerings as required by GASB 88.</w:t>
      </w:r>
    </w:p>
    <w:p w14:paraId="2AFE24B9" w14:textId="0367EB48" w:rsidR="001F5055" w:rsidRDefault="001F5055" w:rsidP="001F5055">
      <w:pPr>
        <w:widowControl/>
        <w:rPr>
          <w:sz w:val="22"/>
          <w:szCs w:val="22"/>
        </w:rPr>
      </w:pPr>
    </w:p>
    <w:p w14:paraId="44B9D909" w14:textId="77777777" w:rsidR="001F5055" w:rsidRDefault="001F5055" w:rsidP="002071D1">
      <w:pPr>
        <w:widowControl/>
        <w:rPr>
          <w:sz w:val="22"/>
          <w:szCs w:val="22"/>
        </w:rPr>
      </w:pPr>
    </w:p>
    <w:p w14:paraId="36BF2D29" w14:textId="77777777" w:rsidR="0004241E" w:rsidRPr="00CC75EE" w:rsidRDefault="0004241E" w:rsidP="00533678">
      <w:pPr>
        <w:widowControl/>
        <w:jc w:val="both"/>
        <w:rPr>
          <w:b/>
          <w:bCs/>
          <w:sz w:val="24"/>
          <w:szCs w:val="24"/>
        </w:rPr>
      </w:pPr>
      <w:r w:rsidRPr="00CC75EE">
        <w:rPr>
          <w:b/>
          <w:bCs/>
          <w:sz w:val="24"/>
          <w:szCs w:val="24"/>
        </w:rPr>
        <w:t>Note 1</w:t>
      </w:r>
      <w:r>
        <w:rPr>
          <w:b/>
          <w:bCs/>
          <w:sz w:val="24"/>
          <w:szCs w:val="24"/>
        </w:rPr>
        <w:t>2</w:t>
      </w:r>
      <w:r w:rsidRPr="00CC75EE">
        <w:rPr>
          <w:b/>
          <w:bCs/>
          <w:sz w:val="24"/>
          <w:szCs w:val="24"/>
        </w:rPr>
        <w:t xml:space="preserve"> – Construction and Contractual Commitments</w:t>
      </w:r>
    </w:p>
    <w:p w14:paraId="5F346020" w14:textId="77777777" w:rsidR="0004241E" w:rsidRPr="005374C3" w:rsidRDefault="0004241E" w:rsidP="00533678">
      <w:pPr>
        <w:widowControl/>
        <w:jc w:val="both"/>
        <w:rPr>
          <w:b/>
          <w:bCs/>
          <w:sz w:val="22"/>
          <w:szCs w:val="22"/>
          <w:u w:val="single"/>
        </w:rPr>
      </w:pPr>
    </w:p>
    <w:p w14:paraId="77588A7B" w14:textId="77777777" w:rsidR="0004241E" w:rsidRPr="0004241E" w:rsidRDefault="0004241E" w:rsidP="00533678">
      <w:pPr>
        <w:widowControl/>
        <w:jc w:val="both"/>
        <w:rPr>
          <w:bCs/>
          <w:sz w:val="22"/>
          <w:szCs w:val="22"/>
        </w:rPr>
      </w:pPr>
      <w:r w:rsidRPr="0004241E">
        <w:rPr>
          <w:bCs/>
          <w:sz w:val="22"/>
          <w:szCs w:val="22"/>
          <w:highlight w:val="yellow"/>
        </w:rPr>
        <w:t>Identify any potentially significant outstanding construction or other contractual commitments.</w:t>
      </w:r>
      <w:r w:rsidRPr="0004241E">
        <w:rPr>
          <w:bCs/>
          <w:sz w:val="22"/>
          <w:szCs w:val="22"/>
        </w:rPr>
        <w:t xml:space="preserve">  </w:t>
      </w:r>
    </w:p>
    <w:p w14:paraId="1AC58F3D" w14:textId="77777777" w:rsidR="002E52EE" w:rsidRDefault="002E52EE" w:rsidP="00533678">
      <w:pPr>
        <w:widowControl/>
        <w:jc w:val="both"/>
        <w:rPr>
          <w:color w:val="000000"/>
          <w:sz w:val="22"/>
          <w:szCs w:val="22"/>
          <w:highlight w:val="cyan"/>
        </w:rPr>
      </w:pPr>
    </w:p>
    <w:p w14:paraId="2814E90F" w14:textId="2423CB33" w:rsidR="002E52EE" w:rsidRPr="00204A2C" w:rsidRDefault="002E52EE" w:rsidP="00533678">
      <w:pPr>
        <w:widowControl/>
        <w:jc w:val="both"/>
        <w:rPr>
          <w:sz w:val="22"/>
          <w:szCs w:val="22"/>
          <w:highlight w:val="yellow"/>
        </w:rPr>
      </w:pPr>
      <w:r w:rsidRPr="00204A2C">
        <w:rPr>
          <w:color w:val="000000"/>
          <w:sz w:val="22"/>
          <w:szCs w:val="22"/>
          <w:highlight w:val="yellow"/>
        </w:rPr>
        <w:t xml:space="preserve">Also review GASB </w:t>
      </w:r>
      <w:r w:rsidR="003E1671" w:rsidRPr="003E1671">
        <w:rPr>
          <w:color w:val="000000"/>
          <w:sz w:val="22"/>
          <w:szCs w:val="22"/>
          <w:highlight w:val="cyan"/>
        </w:rPr>
        <w:t xml:space="preserve">Codification Section A10 </w:t>
      </w:r>
      <w:r w:rsidR="003E1671">
        <w:rPr>
          <w:color w:val="000000"/>
          <w:sz w:val="22"/>
          <w:szCs w:val="22"/>
          <w:highlight w:val="yellow"/>
        </w:rPr>
        <w:t xml:space="preserve">Certain Asset </w:t>
      </w:r>
      <w:r w:rsidRPr="00204A2C">
        <w:rPr>
          <w:color w:val="000000"/>
          <w:sz w:val="22"/>
          <w:szCs w:val="22"/>
          <w:highlight w:val="yellow"/>
        </w:rPr>
        <w:t xml:space="preserve">Retirement Obligations for any applicable disclosure requirements. </w:t>
      </w:r>
    </w:p>
    <w:p w14:paraId="19C5EADD" w14:textId="77777777" w:rsidR="001F1F96" w:rsidRDefault="001F1F96" w:rsidP="001F1F96">
      <w:pPr>
        <w:widowControl/>
        <w:autoSpaceDE/>
        <w:autoSpaceDN/>
        <w:adjustRightInd/>
        <w:jc w:val="both"/>
        <w:rPr>
          <w:sz w:val="24"/>
          <w:szCs w:val="24"/>
          <w:highlight w:val="cyan"/>
        </w:rPr>
      </w:pPr>
    </w:p>
    <w:p w14:paraId="7A7EC06B" w14:textId="0ADF5DE6" w:rsidR="001F1F96" w:rsidRPr="002071D1" w:rsidRDefault="001F1F96" w:rsidP="001F1F96">
      <w:pPr>
        <w:widowControl/>
        <w:autoSpaceDE/>
        <w:autoSpaceDN/>
        <w:adjustRightInd/>
        <w:jc w:val="both"/>
        <w:rPr>
          <w:sz w:val="22"/>
          <w:szCs w:val="22"/>
        </w:rPr>
      </w:pPr>
      <w:r w:rsidRPr="0088625D">
        <w:rPr>
          <w:sz w:val="22"/>
          <w:szCs w:val="22"/>
          <w:highlight w:val="green"/>
        </w:rPr>
        <w:t xml:space="preserve">The Governmental Accounting Standard Board’s (GASB) Statement No. 83, </w:t>
      </w:r>
      <w:r w:rsidRPr="0088625D">
        <w:rPr>
          <w:i/>
          <w:sz w:val="22"/>
          <w:szCs w:val="22"/>
          <w:highlight w:val="green"/>
        </w:rPr>
        <w:t>Certain Asset Retirement Obligations,</w:t>
      </w:r>
      <w:r w:rsidRPr="0088625D">
        <w:rPr>
          <w:sz w:val="22"/>
          <w:szCs w:val="22"/>
          <w:highlight w:val="green"/>
        </w:rPr>
        <w:t xml:space="preserve"> provides guidance related to asset retirement obligations (AROs).  An ARO is a legally enforceable liability associated with the retirement of a tangible capital asset.  The Library has the following AROs:</w:t>
      </w:r>
      <w:r w:rsidRPr="002071D1">
        <w:rPr>
          <w:sz w:val="22"/>
          <w:szCs w:val="22"/>
        </w:rPr>
        <w:t xml:space="preserve"> </w:t>
      </w:r>
      <w:r w:rsidRPr="0088625D">
        <w:rPr>
          <w:sz w:val="22"/>
          <w:szCs w:val="22"/>
          <w:highlight w:val="yellow"/>
        </w:rPr>
        <w:t>(Note:  if your Library only has one ARO, delete the last sentence and incorporate into one paragraph.)</w:t>
      </w:r>
    </w:p>
    <w:p w14:paraId="453DAC61" w14:textId="77777777" w:rsidR="00212E44" w:rsidRDefault="00212E44" w:rsidP="00533678">
      <w:pPr>
        <w:widowControl/>
        <w:jc w:val="both"/>
        <w:rPr>
          <w:b/>
          <w:bCs/>
          <w:sz w:val="24"/>
          <w:szCs w:val="24"/>
        </w:rPr>
      </w:pPr>
    </w:p>
    <w:p w14:paraId="6A0AED76" w14:textId="256C5B5B" w:rsidR="00212E44" w:rsidRDefault="0059529A" w:rsidP="00533678">
      <w:pPr>
        <w:widowControl/>
        <w:jc w:val="both"/>
        <w:rPr>
          <w:sz w:val="24"/>
          <w:szCs w:val="24"/>
        </w:rPr>
      </w:pPr>
      <w:r w:rsidRPr="0059529A">
        <w:rPr>
          <w:sz w:val="24"/>
          <w:szCs w:val="24"/>
          <w:highlight w:val="yellow"/>
        </w:rPr>
        <w:t>Describe any AROs.</w:t>
      </w:r>
    </w:p>
    <w:p w14:paraId="48F98BBF" w14:textId="2873087D" w:rsidR="0073544F" w:rsidRDefault="0073544F" w:rsidP="00533678">
      <w:pPr>
        <w:widowControl/>
        <w:jc w:val="both"/>
        <w:rPr>
          <w:sz w:val="24"/>
          <w:szCs w:val="24"/>
        </w:rPr>
      </w:pPr>
    </w:p>
    <w:p w14:paraId="60195EAD" w14:textId="3FEAE4CF" w:rsidR="0073544F" w:rsidRPr="0059529A" w:rsidRDefault="0073544F" w:rsidP="00533678">
      <w:pPr>
        <w:widowControl/>
        <w:jc w:val="both"/>
        <w:rPr>
          <w:sz w:val="24"/>
          <w:szCs w:val="24"/>
        </w:rPr>
      </w:pPr>
      <w:r w:rsidRPr="0073544F">
        <w:rPr>
          <w:sz w:val="24"/>
          <w:szCs w:val="24"/>
          <w:highlight w:val="yellow"/>
        </w:rPr>
        <w:t>Delete if none.</w:t>
      </w:r>
    </w:p>
    <w:p w14:paraId="2AB05A91" w14:textId="77777777" w:rsidR="0059529A" w:rsidRDefault="0059529A" w:rsidP="00533678">
      <w:pPr>
        <w:widowControl/>
        <w:jc w:val="both"/>
        <w:rPr>
          <w:b/>
          <w:bCs/>
          <w:sz w:val="24"/>
          <w:szCs w:val="24"/>
        </w:rPr>
      </w:pPr>
    </w:p>
    <w:p w14:paraId="4044BB1B" w14:textId="77777777" w:rsidR="0004241E" w:rsidRPr="00CC75EE" w:rsidRDefault="0004241E" w:rsidP="00533678">
      <w:pPr>
        <w:widowControl/>
        <w:jc w:val="both"/>
        <w:rPr>
          <w:b/>
          <w:bCs/>
          <w:sz w:val="24"/>
          <w:szCs w:val="24"/>
        </w:rPr>
      </w:pPr>
      <w:r w:rsidRPr="00CC75EE">
        <w:rPr>
          <w:b/>
          <w:bCs/>
          <w:sz w:val="24"/>
          <w:szCs w:val="24"/>
        </w:rPr>
        <w:t>Note 1</w:t>
      </w:r>
      <w:r>
        <w:rPr>
          <w:b/>
          <w:bCs/>
          <w:sz w:val="24"/>
          <w:szCs w:val="24"/>
        </w:rPr>
        <w:t>3</w:t>
      </w:r>
      <w:r w:rsidRPr="00CC75EE">
        <w:rPr>
          <w:b/>
          <w:bCs/>
          <w:sz w:val="24"/>
          <w:szCs w:val="24"/>
        </w:rPr>
        <w:t xml:space="preserve"> – Contingent Liabilities</w:t>
      </w:r>
    </w:p>
    <w:p w14:paraId="27CAE296" w14:textId="77777777" w:rsidR="0004241E" w:rsidRPr="005374C3" w:rsidRDefault="0004241E" w:rsidP="00533678">
      <w:pPr>
        <w:widowControl/>
        <w:jc w:val="both"/>
        <w:rPr>
          <w:b/>
          <w:bCs/>
          <w:sz w:val="22"/>
          <w:szCs w:val="22"/>
          <w:u w:val="single"/>
        </w:rPr>
      </w:pPr>
    </w:p>
    <w:p w14:paraId="1257FEA8" w14:textId="77777777" w:rsidR="00EA33C6" w:rsidRPr="00D930DB" w:rsidRDefault="00EA33C6" w:rsidP="00EA33C6">
      <w:pPr>
        <w:jc w:val="both"/>
        <w:rPr>
          <w:sz w:val="22"/>
          <w:szCs w:val="22"/>
        </w:rPr>
      </w:pPr>
      <w:r w:rsidRPr="00D930DB">
        <w:rPr>
          <w:iCs/>
          <w:sz w:val="22"/>
          <w:szCs w:val="22"/>
          <w:highlight w:val="yellow"/>
        </w:rPr>
        <w:t>(Modify as needed.  Briefly describe potentially material suits.  Include the range of potential loss.  However, avoid naming plaintiffs.  Allow legal counsel to review your draft language.)</w:t>
      </w:r>
    </w:p>
    <w:p w14:paraId="581700DF" w14:textId="77777777" w:rsidR="0004241E" w:rsidRPr="005374C3" w:rsidRDefault="0004241E" w:rsidP="00533678">
      <w:pPr>
        <w:widowControl/>
        <w:jc w:val="both"/>
        <w:rPr>
          <w:sz w:val="22"/>
          <w:szCs w:val="22"/>
        </w:rPr>
      </w:pPr>
    </w:p>
    <w:p w14:paraId="05895890" w14:textId="77777777" w:rsidR="0004241E" w:rsidRPr="005374C3" w:rsidRDefault="0004241E" w:rsidP="00533678">
      <w:pPr>
        <w:widowControl/>
        <w:jc w:val="both"/>
        <w:rPr>
          <w:sz w:val="22"/>
          <w:szCs w:val="22"/>
        </w:rPr>
      </w:pPr>
      <w:r w:rsidRPr="0004241E">
        <w:rPr>
          <w:iCs/>
          <w:sz w:val="22"/>
          <w:szCs w:val="22"/>
          <w:highlight w:val="yellow"/>
        </w:rPr>
        <w:lastRenderedPageBreak/>
        <w:t>(Modify or delete as appropriate.)</w:t>
      </w:r>
      <w:r w:rsidRPr="005374C3">
        <w:rPr>
          <w:i/>
          <w:iCs/>
          <w:sz w:val="22"/>
          <w:szCs w:val="22"/>
        </w:rPr>
        <w:t xml:space="preserve">   </w:t>
      </w:r>
      <w:r w:rsidRPr="002E52EE">
        <w:rPr>
          <w:sz w:val="22"/>
          <w:szCs w:val="22"/>
          <w:highlight w:val="green"/>
        </w:rPr>
        <w:t>The Library is defendant in several lawsuits.  Although management cannot presently determine the outcome of these suits, they believe the resolution of these matters will not materially adversely affect the Library’s financial condition.</w:t>
      </w:r>
    </w:p>
    <w:p w14:paraId="01172EDC" w14:textId="77777777" w:rsidR="0004241E" w:rsidRPr="005374C3" w:rsidRDefault="0004241E" w:rsidP="00533678">
      <w:pPr>
        <w:widowControl/>
        <w:jc w:val="both"/>
        <w:rPr>
          <w:sz w:val="22"/>
          <w:szCs w:val="22"/>
        </w:rPr>
      </w:pPr>
    </w:p>
    <w:p w14:paraId="716D5748" w14:textId="77777777" w:rsidR="0004241E" w:rsidRPr="005374C3" w:rsidRDefault="0004241E" w:rsidP="00533678">
      <w:pPr>
        <w:widowControl/>
        <w:jc w:val="both"/>
        <w:rPr>
          <w:sz w:val="22"/>
          <w:szCs w:val="22"/>
        </w:rPr>
      </w:pPr>
      <w:r w:rsidRPr="0004241E">
        <w:rPr>
          <w:iCs/>
          <w:sz w:val="22"/>
          <w:szCs w:val="22"/>
          <w:highlight w:val="yellow"/>
        </w:rPr>
        <w:t>(Include the following paragraph only if grants were received.)</w:t>
      </w:r>
      <w:r w:rsidRPr="005374C3">
        <w:rPr>
          <w:i/>
          <w:iCs/>
          <w:sz w:val="22"/>
          <w:szCs w:val="22"/>
        </w:rPr>
        <w:t xml:space="preserve">  </w:t>
      </w:r>
      <w:r w:rsidRPr="005374C3">
        <w:rPr>
          <w:sz w:val="22"/>
          <w:szCs w:val="22"/>
        </w:rPr>
        <w:t>Amounts grantor agencies pay to the Library are subject to audit and adjustment by the grantor, principally the federal government. Grantors may require refunding any disallowed costs.  Management cannot presently determine amounts grantors may disallow.  However, based on prior experience, management believes any refunds would be immaterial.</w:t>
      </w:r>
    </w:p>
    <w:p w14:paraId="0ABA4931" w14:textId="77777777" w:rsidR="0004241E" w:rsidRDefault="0004241E" w:rsidP="00533678">
      <w:pPr>
        <w:widowControl/>
        <w:jc w:val="both"/>
        <w:rPr>
          <w:b/>
          <w:sz w:val="24"/>
          <w:szCs w:val="24"/>
        </w:rPr>
      </w:pPr>
    </w:p>
    <w:p w14:paraId="27968856" w14:textId="77777777" w:rsidR="00ED28AB" w:rsidRDefault="00ED28AB" w:rsidP="00533678">
      <w:pPr>
        <w:widowControl/>
        <w:jc w:val="both"/>
        <w:rPr>
          <w:b/>
          <w:sz w:val="24"/>
          <w:szCs w:val="24"/>
        </w:rPr>
      </w:pPr>
    </w:p>
    <w:p w14:paraId="54F9132C" w14:textId="77777777" w:rsidR="0004241E" w:rsidRPr="00CC75EE" w:rsidRDefault="0004241E" w:rsidP="00533678">
      <w:pPr>
        <w:widowControl/>
        <w:jc w:val="both"/>
        <w:rPr>
          <w:b/>
          <w:sz w:val="24"/>
          <w:szCs w:val="24"/>
        </w:rPr>
      </w:pPr>
      <w:r w:rsidRPr="00CC75EE">
        <w:rPr>
          <w:b/>
          <w:sz w:val="24"/>
          <w:szCs w:val="24"/>
        </w:rPr>
        <w:t xml:space="preserve">Note </w:t>
      </w:r>
      <w:r>
        <w:rPr>
          <w:b/>
          <w:sz w:val="24"/>
          <w:szCs w:val="24"/>
        </w:rPr>
        <w:t>14</w:t>
      </w:r>
      <w:r w:rsidRPr="00CC75EE">
        <w:rPr>
          <w:b/>
          <w:sz w:val="24"/>
          <w:szCs w:val="24"/>
        </w:rPr>
        <w:t xml:space="preserve"> – Joint Ventures</w:t>
      </w:r>
    </w:p>
    <w:p w14:paraId="72616735" w14:textId="77777777" w:rsidR="0004241E" w:rsidRPr="005374C3" w:rsidRDefault="0004241E" w:rsidP="00533678">
      <w:pPr>
        <w:widowControl/>
        <w:jc w:val="both"/>
        <w:rPr>
          <w:b/>
          <w:sz w:val="22"/>
          <w:szCs w:val="22"/>
          <w:u w:val="single"/>
        </w:rPr>
      </w:pPr>
    </w:p>
    <w:p w14:paraId="1DC14F7F" w14:textId="77777777" w:rsidR="0004241E" w:rsidRPr="0004241E" w:rsidRDefault="0004241E" w:rsidP="00533678">
      <w:pPr>
        <w:widowControl/>
        <w:autoSpaceDE/>
        <w:autoSpaceDN/>
        <w:adjustRightInd/>
        <w:jc w:val="both"/>
        <w:rPr>
          <w:b/>
          <w:sz w:val="22"/>
          <w:szCs w:val="22"/>
        </w:rPr>
      </w:pPr>
      <w:r w:rsidRPr="0004241E">
        <w:rPr>
          <w:i/>
          <w:sz w:val="22"/>
          <w:szCs w:val="22"/>
          <w:highlight w:val="yellow"/>
        </w:rPr>
        <w:t>A joint venture is a legal entity or other organization that results from a contractual arrangement and that is owner, operated, or governed by two or more participants as a separate and specific activity subject to joint control, in which that participants retain (a) an ongoing financial interest or (b) and ongoing financial responsibility. See GASB Statements 14 and 39, and GASB Codification J50 paragraph .102.</w:t>
      </w:r>
    </w:p>
    <w:p w14:paraId="1C137CB4" w14:textId="77777777" w:rsidR="0004241E" w:rsidRDefault="0004241E" w:rsidP="00533678">
      <w:pPr>
        <w:widowControl/>
        <w:jc w:val="both"/>
        <w:rPr>
          <w:i/>
          <w:sz w:val="22"/>
          <w:szCs w:val="22"/>
        </w:rPr>
      </w:pPr>
    </w:p>
    <w:p w14:paraId="32A3B665" w14:textId="77777777" w:rsidR="0004241E" w:rsidRPr="0004241E" w:rsidRDefault="0004241E" w:rsidP="00533678">
      <w:pPr>
        <w:widowControl/>
        <w:jc w:val="both"/>
        <w:rPr>
          <w:i/>
          <w:sz w:val="22"/>
          <w:szCs w:val="22"/>
          <w:highlight w:val="yellow"/>
        </w:rPr>
      </w:pPr>
      <w:r w:rsidRPr="0004241E">
        <w:rPr>
          <w:i/>
          <w:sz w:val="22"/>
          <w:szCs w:val="22"/>
          <w:highlight w:val="yellow"/>
        </w:rPr>
        <w:t>Include a general description of each joint venture that includes the following:</w:t>
      </w:r>
    </w:p>
    <w:p w14:paraId="4D991296" w14:textId="77777777" w:rsidR="0004241E" w:rsidRPr="0004241E" w:rsidRDefault="0004241E" w:rsidP="00533678">
      <w:pPr>
        <w:widowControl/>
        <w:ind w:left="702"/>
        <w:jc w:val="both"/>
        <w:rPr>
          <w:i/>
          <w:sz w:val="22"/>
          <w:szCs w:val="22"/>
          <w:highlight w:val="yellow"/>
        </w:rPr>
      </w:pPr>
      <w:r w:rsidRPr="0004241E">
        <w:rPr>
          <w:i/>
          <w:sz w:val="22"/>
          <w:szCs w:val="22"/>
          <w:highlight w:val="yellow"/>
        </w:rPr>
        <w:t>Describe any ongoing financial interest.</w:t>
      </w:r>
    </w:p>
    <w:p w14:paraId="046AF2CA" w14:textId="77777777" w:rsidR="0004241E" w:rsidRPr="0004241E" w:rsidRDefault="0004241E" w:rsidP="00533678">
      <w:pPr>
        <w:widowControl/>
        <w:ind w:left="702"/>
        <w:jc w:val="both"/>
        <w:rPr>
          <w:i/>
          <w:sz w:val="22"/>
          <w:szCs w:val="22"/>
          <w:highlight w:val="yellow"/>
        </w:rPr>
      </w:pPr>
      <w:r w:rsidRPr="0004241E">
        <w:rPr>
          <w:i/>
          <w:sz w:val="22"/>
          <w:szCs w:val="22"/>
          <w:highlight w:val="yellow"/>
        </w:rPr>
        <w:t>Describe any ongoing financial responsibility.</w:t>
      </w:r>
    </w:p>
    <w:p w14:paraId="15F0F13F" w14:textId="77777777" w:rsidR="0004241E" w:rsidRPr="0004241E" w:rsidRDefault="0004241E" w:rsidP="00533678">
      <w:pPr>
        <w:widowControl/>
        <w:ind w:left="702"/>
        <w:jc w:val="both"/>
        <w:rPr>
          <w:i/>
          <w:sz w:val="22"/>
          <w:szCs w:val="22"/>
          <w:highlight w:val="yellow"/>
        </w:rPr>
      </w:pPr>
      <w:r w:rsidRPr="0004241E">
        <w:rPr>
          <w:i/>
          <w:sz w:val="22"/>
          <w:szCs w:val="22"/>
          <w:highlight w:val="yellow"/>
        </w:rPr>
        <w:t>Provide information to allow users of the financial statements to evaluate whether the joint venture is accumulating significant financial resources or is experiencing fiscal stress that may cause an additional financial benefit or burden for the Library in the future.</w:t>
      </w:r>
    </w:p>
    <w:p w14:paraId="5763CAC3" w14:textId="77777777" w:rsidR="0004241E" w:rsidRPr="005374C3" w:rsidRDefault="0004241E" w:rsidP="00533678">
      <w:pPr>
        <w:widowControl/>
        <w:ind w:left="702"/>
        <w:jc w:val="both"/>
        <w:rPr>
          <w:i/>
          <w:sz w:val="22"/>
          <w:szCs w:val="22"/>
        </w:rPr>
      </w:pPr>
      <w:r w:rsidRPr="0004241E">
        <w:rPr>
          <w:i/>
          <w:sz w:val="22"/>
          <w:szCs w:val="22"/>
          <w:highlight w:val="yellow"/>
        </w:rPr>
        <w:t>Provide information on related party transactions.</w:t>
      </w:r>
    </w:p>
    <w:p w14:paraId="0F899824" w14:textId="77777777" w:rsidR="00FA55C0" w:rsidRDefault="00FA55C0" w:rsidP="00533678">
      <w:pPr>
        <w:widowControl/>
        <w:jc w:val="both"/>
        <w:rPr>
          <w:b/>
          <w:sz w:val="24"/>
          <w:szCs w:val="24"/>
        </w:rPr>
      </w:pPr>
    </w:p>
    <w:p w14:paraId="0A312671" w14:textId="77777777" w:rsidR="00FA55C0" w:rsidRDefault="00FA55C0" w:rsidP="00533678">
      <w:pPr>
        <w:widowControl/>
        <w:jc w:val="both"/>
        <w:rPr>
          <w:b/>
          <w:sz w:val="24"/>
          <w:szCs w:val="24"/>
        </w:rPr>
      </w:pPr>
    </w:p>
    <w:p w14:paraId="2A66829E" w14:textId="18A84379" w:rsidR="0004241E" w:rsidRDefault="0004241E" w:rsidP="00533678">
      <w:pPr>
        <w:widowControl/>
        <w:jc w:val="both"/>
        <w:rPr>
          <w:b/>
          <w:sz w:val="24"/>
          <w:szCs w:val="24"/>
        </w:rPr>
      </w:pPr>
      <w:r w:rsidRPr="00CC75EE">
        <w:rPr>
          <w:b/>
          <w:sz w:val="24"/>
          <w:szCs w:val="24"/>
        </w:rPr>
        <w:t xml:space="preserve">Note </w:t>
      </w:r>
      <w:r w:rsidR="000B0377">
        <w:rPr>
          <w:b/>
          <w:sz w:val="24"/>
          <w:szCs w:val="24"/>
        </w:rPr>
        <w:t>15</w:t>
      </w:r>
      <w:r w:rsidRPr="00CC75EE">
        <w:rPr>
          <w:b/>
          <w:sz w:val="24"/>
          <w:szCs w:val="24"/>
        </w:rPr>
        <w:t xml:space="preserve"> – Jointly Governed Organizations</w:t>
      </w:r>
    </w:p>
    <w:p w14:paraId="39ADB0D4" w14:textId="77777777" w:rsidR="0004241E" w:rsidRDefault="0004241E" w:rsidP="00533678">
      <w:pPr>
        <w:widowControl/>
        <w:jc w:val="both"/>
        <w:rPr>
          <w:b/>
          <w:sz w:val="24"/>
          <w:szCs w:val="24"/>
        </w:rPr>
      </w:pPr>
    </w:p>
    <w:p w14:paraId="57658F27" w14:textId="77777777" w:rsidR="0004241E" w:rsidRPr="0004241E" w:rsidRDefault="0004241E" w:rsidP="00533678">
      <w:pPr>
        <w:widowControl/>
        <w:autoSpaceDE/>
        <w:autoSpaceDN/>
        <w:adjustRightInd/>
        <w:jc w:val="both"/>
        <w:rPr>
          <w:i/>
          <w:sz w:val="22"/>
          <w:szCs w:val="22"/>
        </w:rPr>
      </w:pPr>
      <w:r w:rsidRPr="0004241E">
        <w:rPr>
          <w:i/>
          <w:sz w:val="22"/>
          <w:szCs w:val="22"/>
          <w:highlight w:val="yellow"/>
        </w:rPr>
        <w:t>A jointly governed organization is a regional government or other multigovernmental arrangement that is governed by representatives from each of the governments that create the organization, but that is not a joint venture because the participants do not retain an ongoing financial interest or responsibility. See GASB Statements 14 and 39, and GASB Codification J50 paragraph .111.</w:t>
      </w:r>
    </w:p>
    <w:p w14:paraId="6E31B8B6" w14:textId="77777777" w:rsidR="0004241E" w:rsidRPr="005374C3" w:rsidRDefault="0004241E" w:rsidP="00533678">
      <w:pPr>
        <w:widowControl/>
        <w:jc w:val="both"/>
        <w:rPr>
          <w:b/>
          <w:sz w:val="22"/>
          <w:szCs w:val="22"/>
          <w:u w:val="single"/>
        </w:rPr>
      </w:pPr>
    </w:p>
    <w:p w14:paraId="04880D64" w14:textId="77777777" w:rsidR="0004241E" w:rsidRPr="0004241E" w:rsidRDefault="0004241E" w:rsidP="00533678">
      <w:pPr>
        <w:widowControl/>
        <w:jc w:val="both"/>
        <w:rPr>
          <w:sz w:val="22"/>
          <w:szCs w:val="22"/>
        </w:rPr>
      </w:pPr>
      <w:r w:rsidRPr="0004241E">
        <w:rPr>
          <w:sz w:val="22"/>
          <w:szCs w:val="22"/>
          <w:highlight w:val="yellow"/>
        </w:rPr>
        <w:t>Include a general description of each jointly governed organization and provide information on related party transactions.</w:t>
      </w:r>
    </w:p>
    <w:p w14:paraId="72765EC3" w14:textId="77777777" w:rsidR="0004241E" w:rsidRDefault="0004241E" w:rsidP="00533678">
      <w:pPr>
        <w:widowControl/>
        <w:jc w:val="both"/>
        <w:rPr>
          <w:sz w:val="22"/>
          <w:szCs w:val="22"/>
        </w:rPr>
      </w:pPr>
    </w:p>
    <w:p w14:paraId="421E49D6" w14:textId="77777777" w:rsidR="00ED28AB" w:rsidRPr="005374C3" w:rsidRDefault="00ED28AB" w:rsidP="00533678">
      <w:pPr>
        <w:widowControl/>
        <w:jc w:val="both"/>
        <w:rPr>
          <w:sz w:val="22"/>
          <w:szCs w:val="22"/>
        </w:rPr>
      </w:pPr>
    </w:p>
    <w:p w14:paraId="1F037F45" w14:textId="77777777" w:rsidR="0004241E" w:rsidRPr="00CC75EE" w:rsidRDefault="0004241E" w:rsidP="00533678">
      <w:pPr>
        <w:widowControl/>
        <w:jc w:val="both"/>
        <w:rPr>
          <w:b/>
          <w:sz w:val="24"/>
          <w:szCs w:val="24"/>
        </w:rPr>
      </w:pPr>
      <w:r w:rsidRPr="00CC75EE">
        <w:rPr>
          <w:b/>
          <w:sz w:val="24"/>
          <w:szCs w:val="24"/>
        </w:rPr>
        <w:t xml:space="preserve">Note </w:t>
      </w:r>
      <w:r w:rsidR="000B0377">
        <w:rPr>
          <w:b/>
          <w:sz w:val="24"/>
          <w:szCs w:val="24"/>
        </w:rPr>
        <w:t>16</w:t>
      </w:r>
      <w:r w:rsidRPr="00CC75EE">
        <w:rPr>
          <w:b/>
          <w:sz w:val="24"/>
          <w:szCs w:val="24"/>
        </w:rPr>
        <w:t xml:space="preserve"> – Public Entity Risk Pool</w:t>
      </w:r>
    </w:p>
    <w:p w14:paraId="64363C73" w14:textId="77777777" w:rsidR="0004241E" w:rsidRPr="005374C3" w:rsidRDefault="0004241E" w:rsidP="00533678">
      <w:pPr>
        <w:widowControl/>
        <w:jc w:val="both"/>
        <w:rPr>
          <w:sz w:val="22"/>
          <w:szCs w:val="22"/>
        </w:rPr>
      </w:pPr>
    </w:p>
    <w:p w14:paraId="75DFC2BF" w14:textId="3CFD6AA7" w:rsidR="00EA33C6" w:rsidRDefault="0004241E" w:rsidP="00EA33C6">
      <w:pPr>
        <w:jc w:val="both"/>
        <w:rPr>
          <w:sz w:val="22"/>
          <w:szCs w:val="22"/>
        </w:rPr>
      </w:pPr>
      <w:r w:rsidRPr="0004241E">
        <w:rPr>
          <w:sz w:val="22"/>
          <w:szCs w:val="22"/>
          <w:highlight w:val="yellow"/>
        </w:rPr>
        <w:t>If the Library participates in a public entity risk pool, it should describe that arrangement.  That description should specifically address the rights and responsibilities of the Library and the pool and the composition of the governing board</w:t>
      </w:r>
      <w:r w:rsidR="00EA33C6">
        <w:rPr>
          <w:sz w:val="22"/>
          <w:szCs w:val="22"/>
        </w:rPr>
        <w:t xml:space="preserve">.  </w:t>
      </w:r>
      <w:r w:rsidR="00EA33C6" w:rsidRPr="00196AFE">
        <w:rPr>
          <w:sz w:val="22"/>
          <w:szCs w:val="22"/>
          <w:highlight w:val="yellow"/>
        </w:rPr>
        <w:t>The following is example language:</w:t>
      </w:r>
    </w:p>
    <w:p w14:paraId="243F0FC7" w14:textId="77777777" w:rsidR="00EA33C6" w:rsidRPr="00D930DB" w:rsidRDefault="00EA33C6" w:rsidP="00EA33C6">
      <w:pPr>
        <w:jc w:val="both"/>
        <w:rPr>
          <w:sz w:val="22"/>
          <w:szCs w:val="22"/>
        </w:rPr>
      </w:pPr>
    </w:p>
    <w:p w14:paraId="224CF879" w14:textId="15016683" w:rsidR="00EA33C6" w:rsidRPr="00D930DB" w:rsidRDefault="00EA33C6" w:rsidP="00EA33C6">
      <w:pPr>
        <w:jc w:val="both"/>
        <w:rPr>
          <w:sz w:val="22"/>
          <w:szCs w:val="22"/>
        </w:rPr>
      </w:pPr>
      <w:r w:rsidRPr="00D930DB">
        <w:rPr>
          <w:sz w:val="22"/>
          <w:szCs w:val="22"/>
          <w:highlight w:val="green"/>
        </w:rPr>
        <w:t xml:space="preserve">The </w:t>
      </w:r>
      <w:r w:rsidR="00C540CA">
        <w:rPr>
          <w:sz w:val="22"/>
          <w:szCs w:val="22"/>
          <w:highlight w:val="green"/>
        </w:rPr>
        <w:t>Library</w:t>
      </w:r>
      <w:r w:rsidRPr="00D930DB">
        <w:rPr>
          <w:sz w:val="22"/>
          <w:szCs w:val="22"/>
          <w:highlight w:val="green"/>
        </w:rPr>
        <w:t xml:space="preserve"> participates in the Ohio Municipal League Group Rating Plan (GRP) for worker’s compensation.  The pool’s business and affairs are conducted by a </w:t>
      </w:r>
      <w:proofErr w:type="gramStart"/>
      <w:r w:rsidRPr="00D930DB">
        <w:rPr>
          <w:sz w:val="22"/>
          <w:szCs w:val="22"/>
          <w:highlight w:val="green"/>
        </w:rPr>
        <w:t>twenty-six member</w:t>
      </w:r>
      <w:proofErr w:type="gramEnd"/>
      <w:r w:rsidRPr="00D930DB">
        <w:rPr>
          <w:sz w:val="22"/>
          <w:szCs w:val="22"/>
          <w:highlight w:val="green"/>
        </w:rPr>
        <w:t xml:space="preserve"> Board of Trustees consisting of fifteen mayors, two council members, three administrators, three finance directors, and three law directors which are voted on by the members for staggered two-year terms.  The Executive Director of the Ohio Municipal League serves as the coordinator of the Program.  Each year the participants pay an enrollment fee to the program to </w:t>
      </w:r>
      <w:r w:rsidRPr="00D930DB">
        <w:rPr>
          <w:sz w:val="22"/>
          <w:szCs w:val="22"/>
          <w:highlight w:val="green"/>
        </w:rPr>
        <w:lastRenderedPageBreak/>
        <w:t>cover the costs of administering the program.</w:t>
      </w:r>
    </w:p>
    <w:p w14:paraId="0F86A158" w14:textId="7DE4EFC1" w:rsidR="00206AD0" w:rsidRPr="00206AD0" w:rsidRDefault="00206AD0" w:rsidP="0059529A">
      <w:pPr>
        <w:jc w:val="both"/>
        <w:rPr>
          <w:sz w:val="22"/>
          <w:szCs w:val="22"/>
        </w:rPr>
      </w:pPr>
    </w:p>
    <w:p w14:paraId="6E6F3E40" w14:textId="77777777" w:rsidR="00212E44" w:rsidRDefault="00212E44" w:rsidP="00533678">
      <w:pPr>
        <w:widowControl/>
        <w:jc w:val="both"/>
        <w:rPr>
          <w:b/>
          <w:sz w:val="24"/>
          <w:szCs w:val="24"/>
        </w:rPr>
      </w:pPr>
    </w:p>
    <w:p w14:paraId="62C9D4AE" w14:textId="77777777" w:rsidR="0004241E" w:rsidRPr="00CC75EE" w:rsidRDefault="0004241E" w:rsidP="00533678">
      <w:pPr>
        <w:widowControl/>
        <w:jc w:val="both"/>
        <w:rPr>
          <w:b/>
          <w:sz w:val="24"/>
          <w:szCs w:val="24"/>
        </w:rPr>
      </w:pPr>
      <w:r w:rsidRPr="00CC75EE">
        <w:rPr>
          <w:b/>
          <w:sz w:val="24"/>
          <w:szCs w:val="24"/>
        </w:rPr>
        <w:t xml:space="preserve">Note </w:t>
      </w:r>
      <w:r w:rsidR="000B0377">
        <w:rPr>
          <w:b/>
          <w:sz w:val="24"/>
          <w:szCs w:val="24"/>
        </w:rPr>
        <w:t>17</w:t>
      </w:r>
      <w:r w:rsidRPr="00CC75EE">
        <w:rPr>
          <w:b/>
          <w:sz w:val="24"/>
          <w:szCs w:val="24"/>
        </w:rPr>
        <w:t xml:space="preserve"> – Related Organizations</w:t>
      </w:r>
    </w:p>
    <w:p w14:paraId="73F114F0" w14:textId="77777777" w:rsidR="0004241E" w:rsidRPr="005374C3" w:rsidRDefault="0004241E" w:rsidP="00533678">
      <w:pPr>
        <w:widowControl/>
        <w:jc w:val="both"/>
        <w:rPr>
          <w:sz w:val="22"/>
          <w:szCs w:val="22"/>
        </w:rPr>
      </w:pPr>
    </w:p>
    <w:p w14:paraId="02BD3374" w14:textId="5C5B9490" w:rsidR="0004241E" w:rsidRPr="0004241E" w:rsidRDefault="0004241E" w:rsidP="00533678">
      <w:pPr>
        <w:widowControl/>
        <w:jc w:val="both"/>
        <w:rPr>
          <w:sz w:val="22"/>
          <w:szCs w:val="22"/>
        </w:rPr>
      </w:pPr>
      <w:r w:rsidRPr="002E52EE">
        <w:rPr>
          <w:i/>
          <w:sz w:val="22"/>
          <w:szCs w:val="22"/>
          <w:highlight w:val="yellow"/>
        </w:rPr>
        <w:t xml:space="preserve">A related organization is an organization, for which the Library is accountable because the Library appoints a voting majority of the board, but is not financially accountable.  This note should disclose the nature of the Library’s accountability for any related organization and any related party transactions. See GASB Statements 14 and 39, and GASB Codification </w:t>
      </w:r>
      <w:r w:rsidRPr="0004241E">
        <w:rPr>
          <w:i/>
          <w:sz w:val="22"/>
          <w:szCs w:val="22"/>
          <w:highlight w:val="yellow"/>
        </w:rPr>
        <w:t xml:space="preserve">2600 </w:t>
      </w:r>
      <w:r w:rsidRPr="00CC6CC3">
        <w:rPr>
          <w:i/>
          <w:sz w:val="22"/>
          <w:szCs w:val="22"/>
          <w:highlight w:val="cyan"/>
        </w:rPr>
        <w:t xml:space="preserve">paragraph </w:t>
      </w:r>
      <w:r w:rsidR="00AC6AAC" w:rsidRPr="00CC6CC3">
        <w:rPr>
          <w:i/>
          <w:sz w:val="22"/>
          <w:szCs w:val="22"/>
          <w:highlight w:val="cyan"/>
        </w:rPr>
        <w:t>.130</w:t>
      </w:r>
      <w:r w:rsidRPr="00C44132">
        <w:rPr>
          <w:i/>
          <w:sz w:val="22"/>
          <w:szCs w:val="22"/>
          <w:highlight w:val="yellow"/>
        </w:rPr>
        <w:t>.</w:t>
      </w:r>
    </w:p>
    <w:p w14:paraId="2F6B8AC9" w14:textId="77777777" w:rsidR="0004241E" w:rsidRPr="0004241E" w:rsidRDefault="0004241E" w:rsidP="00533678">
      <w:pPr>
        <w:widowControl/>
        <w:autoSpaceDE/>
        <w:autoSpaceDN/>
        <w:adjustRightInd/>
        <w:jc w:val="both"/>
        <w:rPr>
          <w:sz w:val="22"/>
          <w:szCs w:val="22"/>
        </w:rPr>
      </w:pPr>
    </w:p>
    <w:p w14:paraId="4BB809DA" w14:textId="77777777" w:rsidR="0004241E" w:rsidRPr="0004241E" w:rsidRDefault="0004241E" w:rsidP="00533678">
      <w:pPr>
        <w:widowControl/>
        <w:autoSpaceDE/>
        <w:autoSpaceDN/>
        <w:adjustRightInd/>
        <w:jc w:val="both"/>
        <w:rPr>
          <w:sz w:val="22"/>
          <w:szCs w:val="22"/>
        </w:rPr>
      </w:pPr>
      <w:r w:rsidRPr="0004241E">
        <w:rPr>
          <w:sz w:val="22"/>
          <w:szCs w:val="22"/>
          <w:highlight w:val="yellow"/>
        </w:rPr>
        <w:t xml:space="preserve">This note should disclose the nature of the </w:t>
      </w:r>
      <w:r>
        <w:rPr>
          <w:sz w:val="22"/>
          <w:szCs w:val="22"/>
          <w:highlight w:val="yellow"/>
        </w:rPr>
        <w:t>Library</w:t>
      </w:r>
      <w:r w:rsidRPr="0004241E">
        <w:rPr>
          <w:sz w:val="22"/>
          <w:szCs w:val="22"/>
          <w:highlight w:val="yellow"/>
        </w:rPr>
        <w:t>’s accountability for any related organization and any related party transactions.</w:t>
      </w:r>
    </w:p>
    <w:p w14:paraId="6E5ECFF3" w14:textId="77777777" w:rsidR="0004241E" w:rsidRDefault="0004241E" w:rsidP="00533678">
      <w:pPr>
        <w:widowControl/>
        <w:autoSpaceDE/>
        <w:autoSpaceDN/>
        <w:adjustRightInd/>
        <w:jc w:val="both"/>
        <w:rPr>
          <w:b/>
          <w:sz w:val="22"/>
          <w:szCs w:val="22"/>
        </w:rPr>
      </w:pPr>
    </w:p>
    <w:p w14:paraId="465CA2B9" w14:textId="77777777" w:rsidR="00ED28AB" w:rsidRPr="0004241E" w:rsidRDefault="00ED28AB" w:rsidP="00533678">
      <w:pPr>
        <w:widowControl/>
        <w:autoSpaceDE/>
        <w:autoSpaceDN/>
        <w:adjustRightInd/>
        <w:jc w:val="both"/>
        <w:rPr>
          <w:b/>
          <w:sz w:val="22"/>
          <w:szCs w:val="22"/>
        </w:rPr>
      </w:pPr>
    </w:p>
    <w:p w14:paraId="6ADB8060" w14:textId="77777777" w:rsidR="0004241E" w:rsidRPr="00CC75EE" w:rsidRDefault="0004241E" w:rsidP="00533678">
      <w:pPr>
        <w:widowControl/>
        <w:jc w:val="both"/>
        <w:rPr>
          <w:b/>
          <w:sz w:val="24"/>
          <w:szCs w:val="24"/>
        </w:rPr>
      </w:pPr>
      <w:r w:rsidRPr="00CC75EE">
        <w:rPr>
          <w:b/>
          <w:sz w:val="24"/>
          <w:szCs w:val="24"/>
        </w:rPr>
        <w:t xml:space="preserve">Note </w:t>
      </w:r>
      <w:r>
        <w:rPr>
          <w:b/>
          <w:sz w:val="24"/>
          <w:szCs w:val="24"/>
        </w:rPr>
        <w:t>18</w:t>
      </w:r>
      <w:r w:rsidRPr="00CC75EE">
        <w:rPr>
          <w:b/>
          <w:sz w:val="24"/>
          <w:szCs w:val="24"/>
        </w:rPr>
        <w:t xml:space="preserve"> – Related Party Transactions</w:t>
      </w:r>
    </w:p>
    <w:p w14:paraId="01D8D5AB" w14:textId="77777777" w:rsidR="00501291" w:rsidRDefault="00501291" w:rsidP="00533678">
      <w:pPr>
        <w:widowControl/>
        <w:tabs>
          <w:tab w:val="left" w:pos="0"/>
          <w:tab w:val="left" w:pos="547"/>
          <w:tab w:val="left" w:pos="907"/>
          <w:tab w:val="left" w:pos="1440"/>
          <w:tab w:val="left" w:pos="1987"/>
          <w:tab w:val="right" w:pos="4950"/>
          <w:tab w:val="right" w:pos="6390"/>
          <w:tab w:val="right" w:pos="7830"/>
          <w:tab w:val="right" w:pos="9270"/>
        </w:tabs>
        <w:jc w:val="both"/>
        <w:rPr>
          <w:i/>
          <w:iCs/>
          <w:sz w:val="22"/>
          <w:szCs w:val="22"/>
          <w:highlight w:val="yellow"/>
        </w:rPr>
      </w:pPr>
    </w:p>
    <w:p w14:paraId="7689BF15" w14:textId="77777777" w:rsidR="00501291" w:rsidRDefault="00501291" w:rsidP="00533678">
      <w:pPr>
        <w:widowControl/>
        <w:tabs>
          <w:tab w:val="left" w:pos="0"/>
          <w:tab w:val="left" w:pos="547"/>
          <w:tab w:val="left" w:pos="907"/>
          <w:tab w:val="left" w:pos="1440"/>
          <w:tab w:val="left" w:pos="1987"/>
          <w:tab w:val="right" w:pos="4950"/>
          <w:tab w:val="right" w:pos="6390"/>
          <w:tab w:val="right" w:pos="7830"/>
          <w:tab w:val="right" w:pos="9270"/>
        </w:tabs>
        <w:jc w:val="both"/>
        <w:rPr>
          <w:i/>
          <w:iCs/>
          <w:sz w:val="22"/>
          <w:szCs w:val="22"/>
          <w:highlight w:val="yellow"/>
        </w:rPr>
      </w:pPr>
      <w:r w:rsidRPr="00845497">
        <w:rPr>
          <w:i/>
          <w:iCs/>
          <w:sz w:val="22"/>
          <w:szCs w:val="22"/>
          <w:highlight w:val="yellow"/>
        </w:rPr>
        <w:t>GASB Codification Section 2250 Starting at Paragraph .102</w:t>
      </w:r>
    </w:p>
    <w:p w14:paraId="1D749127" w14:textId="77777777" w:rsidR="0004241E" w:rsidRPr="005374C3" w:rsidRDefault="0004241E" w:rsidP="00533678">
      <w:pPr>
        <w:widowControl/>
        <w:jc w:val="both"/>
        <w:rPr>
          <w:sz w:val="22"/>
          <w:szCs w:val="22"/>
        </w:rPr>
      </w:pPr>
    </w:p>
    <w:p w14:paraId="1BF14DC7" w14:textId="77777777" w:rsidR="0004241E" w:rsidRPr="005374C3" w:rsidRDefault="0004241E" w:rsidP="00533678">
      <w:pPr>
        <w:widowControl/>
        <w:jc w:val="both"/>
        <w:rPr>
          <w:i/>
          <w:sz w:val="22"/>
          <w:szCs w:val="22"/>
        </w:rPr>
      </w:pPr>
      <w:r w:rsidRPr="002E52EE">
        <w:rPr>
          <w:i/>
          <w:sz w:val="22"/>
          <w:szCs w:val="22"/>
          <w:highlight w:val="yellow"/>
        </w:rPr>
        <w:t xml:space="preserve">Related party transactions are transactions that an informed observer might reasonably believe reflects considerations other than economic </w:t>
      </w:r>
      <w:r w:rsidR="00501291" w:rsidRPr="002E52EE">
        <w:rPr>
          <w:i/>
          <w:sz w:val="22"/>
          <w:szCs w:val="22"/>
          <w:highlight w:val="yellow"/>
        </w:rPr>
        <w:t>self-interest</w:t>
      </w:r>
      <w:r w:rsidRPr="002E52EE">
        <w:rPr>
          <w:i/>
          <w:sz w:val="22"/>
          <w:szCs w:val="22"/>
          <w:highlight w:val="yellow"/>
        </w:rPr>
        <w:t xml:space="preserve"> based upon the relationship that exists between the parties to the transactions.  The term is often used in contrast to an arm’s length transaction.  The notes should disclose the terms of material related party transactions.  See GASB 56 for further guidance.</w:t>
      </w:r>
    </w:p>
    <w:p w14:paraId="13417F25" w14:textId="77777777" w:rsidR="0004241E" w:rsidRDefault="0004241E" w:rsidP="00533678">
      <w:pPr>
        <w:widowControl/>
        <w:tabs>
          <w:tab w:val="left" w:pos="0"/>
          <w:tab w:val="left" w:pos="547"/>
          <w:tab w:val="left" w:pos="907"/>
          <w:tab w:val="left" w:pos="1440"/>
          <w:tab w:val="left" w:pos="1987"/>
          <w:tab w:val="right" w:pos="4950"/>
          <w:tab w:val="right" w:pos="6390"/>
          <w:tab w:val="right" w:pos="7830"/>
          <w:tab w:val="right" w:pos="9270"/>
        </w:tabs>
        <w:autoSpaceDE/>
        <w:autoSpaceDN/>
        <w:adjustRightInd/>
        <w:jc w:val="both"/>
        <w:rPr>
          <w:i/>
          <w:iCs/>
          <w:sz w:val="22"/>
          <w:szCs w:val="22"/>
          <w:highlight w:val="yellow"/>
        </w:rPr>
      </w:pPr>
    </w:p>
    <w:p w14:paraId="52B77C97" w14:textId="77777777" w:rsidR="0004241E" w:rsidRPr="0004241E" w:rsidRDefault="0004241E" w:rsidP="00533678">
      <w:pPr>
        <w:widowControl/>
        <w:tabs>
          <w:tab w:val="left" w:pos="0"/>
          <w:tab w:val="left" w:pos="547"/>
          <w:tab w:val="left" w:pos="907"/>
          <w:tab w:val="left" w:pos="1440"/>
          <w:tab w:val="left" w:pos="1987"/>
          <w:tab w:val="right" w:pos="4950"/>
          <w:tab w:val="right" w:pos="6390"/>
          <w:tab w:val="right" w:pos="7830"/>
          <w:tab w:val="right" w:pos="9270"/>
        </w:tabs>
        <w:autoSpaceDE/>
        <w:autoSpaceDN/>
        <w:adjustRightInd/>
        <w:jc w:val="both"/>
        <w:rPr>
          <w:sz w:val="22"/>
          <w:szCs w:val="22"/>
        </w:rPr>
      </w:pPr>
      <w:r w:rsidRPr="0004241E">
        <w:rPr>
          <w:i/>
          <w:iCs/>
          <w:sz w:val="22"/>
          <w:szCs w:val="22"/>
          <w:highlight w:val="yellow"/>
        </w:rPr>
        <w:t>Example:</w:t>
      </w:r>
      <w:r w:rsidRPr="0004241E">
        <w:rPr>
          <w:i/>
          <w:iCs/>
          <w:sz w:val="22"/>
          <w:szCs w:val="22"/>
        </w:rPr>
        <w:t xml:space="preserve">  </w:t>
      </w:r>
      <w:r w:rsidRPr="0004241E">
        <w:rPr>
          <w:sz w:val="22"/>
          <w:szCs w:val="22"/>
          <w:highlight w:val="green"/>
        </w:rPr>
        <w:t xml:space="preserve">A </w:t>
      </w:r>
      <w:r>
        <w:rPr>
          <w:sz w:val="22"/>
          <w:szCs w:val="22"/>
          <w:highlight w:val="green"/>
        </w:rPr>
        <w:t>Library Trustee</w:t>
      </w:r>
      <w:r w:rsidRPr="0004241E">
        <w:rPr>
          <w:sz w:val="22"/>
          <w:szCs w:val="22"/>
          <w:highlight w:val="green"/>
        </w:rPr>
        <w:t xml:space="preserve"> is part owner of a company from which the </w:t>
      </w:r>
      <w:r w:rsidR="00501291">
        <w:rPr>
          <w:sz w:val="22"/>
          <w:szCs w:val="22"/>
          <w:highlight w:val="green"/>
        </w:rPr>
        <w:t>Library</w:t>
      </w:r>
      <w:r w:rsidRPr="0004241E">
        <w:rPr>
          <w:sz w:val="22"/>
          <w:szCs w:val="22"/>
          <w:highlight w:val="green"/>
        </w:rPr>
        <w:t xml:space="preserve"> acquired</w:t>
      </w:r>
      <w:r w:rsidRPr="0004241E">
        <w:rPr>
          <w:sz w:val="22"/>
          <w:szCs w:val="22"/>
        </w:rPr>
        <w:t xml:space="preserve"> </w:t>
      </w:r>
      <w:r w:rsidRPr="0004241E">
        <w:rPr>
          <w:i/>
          <w:iCs/>
          <w:sz w:val="22"/>
          <w:szCs w:val="22"/>
          <w:highlight w:val="yellow"/>
        </w:rPr>
        <w:t>(described acquisition briefly)</w:t>
      </w:r>
      <w:r w:rsidRPr="0004241E">
        <w:rPr>
          <w:sz w:val="22"/>
          <w:szCs w:val="22"/>
        </w:rPr>
        <w:t xml:space="preserve"> </w:t>
      </w:r>
      <w:r w:rsidRPr="0004241E">
        <w:rPr>
          <w:sz w:val="22"/>
          <w:szCs w:val="22"/>
          <w:highlight w:val="green"/>
        </w:rPr>
        <w:t xml:space="preserve">during the year.  The </w:t>
      </w:r>
      <w:r>
        <w:rPr>
          <w:sz w:val="22"/>
          <w:szCs w:val="22"/>
          <w:highlight w:val="green"/>
        </w:rPr>
        <w:t>Library</w:t>
      </w:r>
      <w:r w:rsidRPr="0004241E">
        <w:rPr>
          <w:sz w:val="22"/>
          <w:szCs w:val="22"/>
          <w:highlight w:val="green"/>
        </w:rPr>
        <w:t xml:space="preserve"> paid $XXX for this acquisition.  The </w:t>
      </w:r>
      <w:r>
        <w:rPr>
          <w:sz w:val="22"/>
          <w:szCs w:val="22"/>
          <w:highlight w:val="green"/>
        </w:rPr>
        <w:t>Library</w:t>
      </w:r>
      <w:r w:rsidRPr="0004241E">
        <w:rPr>
          <w:sz w:val="22"/>
          <w:szCs w:val="22"/>
          <w:highlight w:val="green"/>
        </w:rPr>
        <w:t xml:space="preserve"> also uses office space a </w:t>
      </w:r>
      <w:r>
        <w:rPr>
          <w:sz w:val="22"/>
          <w:szCs w:val="22"/>
          <w:highlight w:val="green"/>
        </w:rPr>
        <w:t>Library Trustee</w:t>
      </w:r>
      <w:r w:rsidRPr="0004241E">
        <w:rPr>
          <w:sz w:val="22"/>
          <w:szCs w:val="22"/>
          <w:highlight w:val="green"/>
        </w:rPr>
        <w:t xml:space="preserve"> donated.</w:t>
      </w:r>
      <w:r w:rsidRPr="0004241E">
        <w:rPr>
          <w:sz w:val="22"/>
          <w:szCs w:val="22"/>
        </w:rPr>
        <w:t xml:space="preserve">  </w:t>
      </w:r>
    </w:p>
    <w:p w14:paraId="64339800" w14:textId="77777777" w:rsidR="0004241E" w:rsidRPr="0004241E" w:rsidRDefault="0004241E" w:rsidP="00533678">
      <w:pPr>
        <w:widowControl/>
        <w:tabs>
          <w:tab w:val="left" w:pos="0"/>
          <w:tab w:val="left" w:pos="547"/>
          <w:tab w:val="left" w:pos="907"/>
          <w:tab w:val="left" w:pos="1440"/>
          <w:tab w:val="left" w:pos="1987"/>
          <w:tab w:val="right" w:pos="4950"/>
          <w:tab w:val="right" w:pos="6390"/>
          <w:tab w:val="right" w:pos="7830"/>
          <w:tab w:val="right" w:pos="9270"/>
        </w:tabs>
        <w:autoSpaceDE/>
        <w:autoSpaceDN/>
        <w:adjustRightInd/>
        <w:ind w:left="547"/>
        <w:jc w:val="both"/>
        <w:rPr>
          <w:sz w:val="22"/>
          <w:szCs w:val="22"/>
          <w:highlight w:val="yellow"/>
        </w:rPr>
      </w:pPr>
    </w:p>
    <w:p w14:paraId="2A5B2E77" w14:textId="77777777" w:rsidR="0004241E" w:rsidRPr="0004241E" w:rsidRDefault="0004241E" w:rsidP="00533678">
      <w:pPr>
        <w:widowControl/>
        <w:tabs>
          <w:tab w:val="left" w:pos="0"/>
          <w:tab w:val="left" w:pos="547"/>
          <w:tab w:val="left" w:pos="907"/>
          <w:tab w:val="left" w:pos="1440"/>
          <w:tab w:val="left" w:pos="1987"/>
          <w:tab w:val="right" w:pos="4950"/>
          <w:tab w:val="right" w:pos="6390"/>
          <w:tab w:val="right" w:pos="7830"/>
          <w:tab w:val="right" w:pos="9270"/>
        </w:tabs>
        <w:autoSpaceDE/>
        <w:autoSpaceDN/>
        <w:adjustRightInd/>
        <w:jc w:val="both"/>
        <w:rPr>
          <w:sz w:val="22"/>
          <w:szCs w:val="22"/>
          <w:highlight w:val="yellow"/>
        </w:rPr>
      </w:pPr>
      <w:r w:rsidRPr="0004241E">
        <w:rPr>
          <w:sz w:val="22"/>
          <w:szCs w:val="22"/>
          <w:highlight w:val="yellow"/>
        </w:rPr>
        <w:t>Significant</w:t>
      </w:r>
      <w:r w:rsidRPr="0004241E">
        <w:rPr>
          <w:color w:val="FF0000"/>
          <w:sz w:val="22"/>
          <w:szCs w:val="22"/>
          <w:highlight w:val="yellow"/>
        </w:rPr>
        <w:t>*</w:t>
      </w:r>
      <w:r w:rsidRPr="0004241E">
        <w:rPr>
          <w:sz w:val="22"/>
          <w:szCs w:val="22"/>
          <w:highlight w:val="yellow"/>
        </w:rPr>
        <w:t xml:space="preserve"> related party transactions must be disclosed.  They may be indicative of ethics or other violations, but that is not the purpose of disclosing related party transactions.  Related party transactions require disclosure because the reported amount of a transaction not conducted at arms-length may not be indicative of its true value, and may mislead readers about the </w:t>
      </w:r>
      <w:r>
        <w:rPr>
          <w:sz w:val="22"/>
          <w:szCs w:val="22"/>
          <w:highlight w:val="yellow"/>
        </w:rPr>
        <w:t>Library</w:t>
      </w:r>
      <w:r w:rsidRPr="0004241E">
        <w:rPr>
          <w:sz w:val="22"/>
          <w:szCs w:val="22"/>
          <w:highlight w:val="yellow"/>
        </w:rPr>
        <w:t>’s ongoing ability to obtain or provide these goods or services if it must repay (or receive) fair value for them in future years.</w:t>
      </w:r>
    </w:p>
    <w:p w14:paraId="07124561" w14:textId="77777777" w:rsidR="0004241E" w:rsidRPr="0004241E" w:rsidRDefault="0004241E" w:rsidP="00533678">
      <w:pPr>
        <w:widowControl/>
        <w:tabs>
          <w:tab w:val="left" w:pos="0"/>
          <w:tab w:val="left" w:pos="547"/>
          <w:tab w:val="left" w:pos="907"/>
          <w:tab w:val="left" w:pos="1440"/>
          <w:tab w:val="left" w:pos="1987"/>
          <w:tab w:val="right" w:pos="4950"/>
          <w:tab w:val="right" w:pos="6390"/>
          <w:tab w:val="right" w:pos="7830"/>
          <w:tab w:val="right" w:pos="9270"/>
        </w:tabs>
        <w:autoSpaceDE/>
        <w:autoSpaceDN/>
        <w:adjustRightInd/>
        <w:ind w:left="547"/>
        <w:jc w:val="both"/>
        <w:rPr>
          <w:sz w:val="22"/>
          <w:szCs w:val="22"/>
          <w:highlight w:val="yellow"/>
        </w:rPr>
      </w:pPr>
    </w:p>
    <w:p w14:paraId="62FC4BEA" w14:textId="77777777" w:rsidR="0004241E" w:rsidRPr="0004241E" w:rsidRDefault="002E52EE" w:rsidP="00533678">
      <w:pPr>
        <w:widowControl/>
        <w:tabs>
          <w:tab w:val="left" w:pos="0"/>
          <w:tab w:val="left" w:pos="547"/>
          <w:tab w:val="left" w:pos="907"/>
          <w:tab w:val="left" w:pos="1440"/>
          <w:tab w:val="left" w:pos="1987"/>
          <w:tab w:val="right" w:pos="4950"/>
          <w:tab w:val="right" w:pos="6390"/>
          <w:tab w:val="right" w:pos="7830"/>
          <w:tab w:val="right" w:pos="9270"/>
        </w:tabs>
        <w:autoSpaceDE/>
        <w:autoSpaceDN/>
        <w:adjustRightInd/>
        <w:jc w:val="both"/>
        <w:rPr>
          <w:sz w:val="22"/>
          <w:szCs w:val="22"/>
        </w:rPr>
      </w:pPr>
      <w:r w:rsidRPr="0004241E">
        <w:rPr>
          <w:color w:val="FF0000"/>
          <w:sz w:val="22"/>
          <w:szCs w:val="22"/>
          <w:highlight w:val="yellow"/>
        </w:rPr>
        <w:t>*</w:t>
      </w:r>
      <w:r w:rsidR="0004241E" w:rsidRPr="0004241E">
        <w:rPr>
          <w:sz w:val="22"/>
          <w:szCs w:val="22"/>
          <w:highlight w:val="yellow"/>
        </w:rPr>
        <w:t>A transaction may be “significant” when the dollar amount is immaterial, if it does not represent the fair value of the transaction.  For example, a government may rent a facility to a related party for $1 per year.</w:t>
      </w:r>
    </w:p>
    <w:p w14:paraId="03F93A43" w14:textId="77777777" w:rsidR="0004241E" w:rsidRDefault="0004241E" w:rsidP="00533678">
      <w:pPr>
        <w:widowControl/>
        <w:autoSpaceDE/>
        <w:autoSpaceDN/>
        <w:adjustRightInd/>
        <w:jc w:val="both"/>
        <w:rPr>
          <w:b/>
          <w:sz w:val="22"/>
          <w:szCs w:val="22"/>
        </w:rPr>
      </w:pPr>
    </w:p>
    <w:p w14:paraId="3F3D52B9" w14:textId="77777777" w:rsidR="00C16FAB" w:rsidRPr="0004241E" w:rsidRDefault="00C16FAB" w:rsidP="00533678">
      <w:pPr>
        <w:widowControl/>
        <w:autoSpaceDE/>
        <w:autoSpaceDN/>
        <w:adjustRightInd/>
        <w:jc w:val="both"/>
        <w:rPr>
          <w:b/>
          <w:sz w:val="22"/>
          <w:szCs w:val="22"/>
        </w:rPr>
      </w:pPr>
    </w:p>
    <w:p w14:paraId="347F334F" w14:textId="77777777" w:rsidR="007337BD" w:rsidRDefault="007337BD" w:rsidP="00533678">
      <w:pPr>
        <w:widowControl/>
        <w:jc w:val="both"/>
        <w:rPr>
          <w:b/>
          <w:sz w:val="24"/>
        </w:rPr>
      </w:pPr>
      <w:r>
        <w:rPr>
          <w:b/>
          <w:sz w:val="24"/>
        </w:rPr>
        <w:t>Note 1</w:t>
      </w:r>
      <w:r w:rsidR="0004241E">
        <w:rPr>
          <w:b/>
          <w:sz w:val="24"/>
        </w:rPr>
        <w:t>9</w:t>
      </w:r>
      <w:r>
        <w:rPr>
          <w:b/>
          <w:sz w:val="24"/>
        </w:rPr>
        <w:t xml:space="preserve"> – Fund Balances</w:t>
      </w:r>
    </w:p>
    <w:p w14:paraId="0EE0313F" w14:textId="77777777" w:rsidR="007337BD" w:rsidRPr="00B71929" w:rsidRDefault="007337BD" w:rsidP="00533678">
      <w:pPr>
        <w:widowControl/>
        <w:jc w:val="both"/>
        <w:rPr>
          <w:sz w:val="24"/>
        </w:rPr>
      </w:pPr>
    </w:p>
    <w:p w14:paraId="49CE05AB" w14:textId="77777777" w:rsidR="007337BD" w:rsidRPr="0004241E" w:rsidRDefault="007337BD" w:rsidP="00533678">
      <w:pPr>
        <w:widowControl/>
        <w:jc w:val="both"/>
        <w:rPr>
          <w:sz w:val="22"/>
          <w:szCs w:val="22"/>
        </w:rPr>
      </w:pPr>
      <w:r>
        <w:rPr>
          <w:sz w:val="22"/>
          <w:szCs w:val="22"/>
        </w:rPr>
        <w:t xml:space="preserve">Fund balance is classified as nonspendable, restricted, committed, assigned and/or unassigned based primarily on the extent to which the Library is bound to observe constraints imposed upon the use of the resources in the government funds.  The constraints placed on fund balance for the major governmental funds and all other governmental funds are presented below:  </w:t>
      </w:r>
      <w:r w:rsidRPr="0004241E">
        <w:rPr>
          <w:sz w:val="22"/>
          <w:szCs w:val="22"/>
          <w:highlight w:val="yellow"/>
        </w:rPr>
        <w:t xml:space="preserve">(See the </w:t>
      </w:r>
      <w:r w:rsidR="00FF39E7" w:rsidRPr="0004241E">
        <w:rPr>
          <w:sz w:val="22"/>
          <w:szCs w:val="22"/>
          <w:highlight w:val="yellow"/>
        </w:rPr>
        <w:t>Fund Balance Classification W</w:t>
      </w:r>
      <w:r w:rsidRPr="0004241E">
        <w:rPr>
          <w:sz w:val="22"/>
          <w:szCs w:val="22"/>
          <w:highlight w:val="yellow"/>
        </w:rPr>
        <w:t>orksheet contained in the OCBOA shells to identify purposes.)</w:t>
      </w:r>
    </w:p>
    <w:p w14:paraId="7FBC4B68" w14:textId="77777777" w:rsidR="007337BD" w:rsidRDefault="007337BD" w:rsidP="00533678">
      <w:pPr>
        <w:widowControl/>
        <w:jc w:val="both"/>
        <w:rPr>
          <w:sz w:val="22"/>
          <w:szCs w:val="22"/>
        </w:rPr>
      </w:pPr>
    </w:p>
    <w:bookmarkStart w:id="194" w:name="_MON_1387625448"/>
    <w:bookmarkEnd w:id="194"/>
    <w:bookmarkStart w:id="195" w:name="_MON_1381233723"/>
    <w:bookmarkEnd w:id="195"/>
    <w:p w14:paraId="75A5D043" w14:textId="1AD947B5" w:rsidR="007337BD" w:rsidRDefault="00AD2932" w:rsidP="00533678">
      <w:pPr>
        <w:widowControl/>
        <w:jc w:val="center"/>
      </w:pPr>
      <w:r w:rsidRPr="0004241E">
        <w:rPr>
          <w:highlight w:val="green"/>
        </w:rPr>
        <w:object w:dxaOrig="9376" w:dyaOrig="5453" w14:anchorId="46D76D84">
          <v:shape id="_x0000_i1039" type="#_x0000_t75" style="width:425.4pt;height:276.6pt" o:ole="">
            <v:imagedata r:id="rId44" o:title=""/>
          </v:shape>
          <o:OLEObject Type="Embed" ProgID="Excel.Sheet.8" ShapeID="_x0000_i1039" DrawAspect="Content" ObjectID="_1798480941" r:id="rId45"/>
        </w:object>
      </w:r>
    </w:p>
    <w:p w14:paraId="7533815D" w14:textId="77777777" w:rsidR="007337BD" w:rsidRDefault="007337BD" w:rsidP="00533678">
      <w:pPr>
        <w:widowControl/>
        <w:jc w:val="both"/>
        <w:rPr>
          <w:b/>
          <w:sz w:val="24"/>
          <w:szCs w:val="24"/>
        </w:rPr>
      </w:pPr>
    </w:p>
    <w:p w14:paraId="53F6C3B2" w14:textId="77777777" w:rsidR="0004241E" w:rsidRPr="0004241E" w:rsidRDefault="0004241E" w:rsidP="00533678">
      <w:pPr>
        <w:widowControl/>
        <w:jc w:val="both"/>
        <w:rPr>
          <w:b/>
          <w:sz w:val="22"/>
          <w:szCs w:val="22"/>
          <w:u w:val="single"/>
        </w:rPr>
      </w:pPr>
      <w:r w:rsidRPr="0004241E">
        <w:rPr>
          <w:sz w:val="22"/>
          <w:szCs w:val="22"/>
          <w:highlight w:val="green"/>
        </w:rPr>
        <w:t xml:space="preserve">In addition to the above fund balance constraints, the </w:t>
      </w:r>
      <w:r>
        <w:rPr>
          <w:sz w:val="22"/>
          <w:szCs w:val="22"/>
          <w:highlight w:val="green"/>
        </w:rPr>
        <w:t>Library</w:t>
      </w:r>
      <w:r w:rsidRPr="0004241E">
        <w:rPr>
          <w:sz w:val="22"/>
          <w:szCs w:val="22"/>
          <w:highlight w:val="green"/>
        </w:rPr>
        <w:t xml:space="preserve"> has a General Fund budget stabilization arrangement that does not meet the criteria to be classified as restricted or committed. Pursuant to Ohio</w:t>
      </w:r>
      <w:r w:rsidR="004F4755">
        <w:rPr>
          <w:sz w:val="22"/>
          <w:szCs w:val="22"/>
          <w:highlight w:val="green"/>
        </w:rPr>
        <w:t xml:space="preserve"> </w:t>
      </w:r>
      <w:r w:rsidRPr="0004241E">
        <w:rPr>
          <w:sz w:val="22"/>
          <w:szCs w:val="22"/>
          <w:highlight w:val="green"/>
        </w:rPr>
        <w:t xml:space="preserve">Revised Code Section 5705.13, the </w:t>
      </w:r>
      <w:r>
        <w:rPr>
          <w:sz w:val="22"/>
          <w:szCs w:val="22"/>
          <w:highlight w:val="green"/>
        </w:rPr>
        <w:t>Library</w:t>
      </w:r>
      <w:r w:rsidRPr="0004241E">
        <w:rPr>
          <w:sz w:val="22"/>
          <w:szCs w:val="22"/>
          <w:highlight w:val="green"/>
        </w:rPr>
        <w:t xml:space="preserve"> established a budget stabilization by resolution to provide options to respond to unexpected issues and afford a buffer against shocks and other forms of risk such as</w:t>
      </w:r>
      <w:r w:rsidR="004F4755">
        <w:rPr>
          <w:sz w:val="22"/>
          <w:szCs w:val="22"/>
          <w:highlight w:val="green"/>
        </w:rPr>
        <w:t xml:space="preserve"> </w:t>
      </w:r>
      <w:r w:rsidRPr="0004241E">
        <w:rPr>
          <w:sz w:val="22"/>
          <w:szCs w:val="22"/>
          <w:highlight w:val="green"/>
        </w:rPr>
        <w:t xml:space="preserve">revenue volatility, unexpected infrastructure failure, or disaster situations. Expenditures of a recurring nature are not addressed </w:t>
      </w:r>
      <w:proofErr w:type="gramStart"/>
      <w:r w:rsidRPr="0004241E">
        <w:rPr>
          <w:sz w:val="22"/>
          <w:szCs w:val="22"/>
          <w:highlight w:val="green"/>
        </w:rPr>
        <w:t>through the use of</w:t>
      </w:r>
      <w:proofErr w:type="gramEnd"/>
      <w:r w:rsidRPr="0004241E">
        <w:rPr>
          <w:sz w:val="22"/>
          <w:szCs w:val="22"/>
          <w:highlight w:val="green"/>
        </w:rPr>
        <w:t xml:space="preserve"> this arrangement. The </w:t>
      </w:r>
      <w:r>
        <w:rPr>
          <w:sz w:val="22"/>
          <w:szCs w:val="22"/>
          <w:highlight w:val="green"/>
        </w:rPr>
        <w:t>Library Trustees</w:t>
      </w:r>
      <w:r w:rsidRPr="0004241E">
        <w:rPr>
          <w:sz w:val="22"/>
          <w:szCs w:val="22"/>
          <w:highlight w:val="green"/>
        </w:rPr>
        <w:t xml:space="preserve"> authorized the funding of this arrangement as resources become available in the General Fund. The fund balance should not exceed 30 percent of the General Fund average revenues. The balance in the reserve </w:t>
      </w:r>
      <w:proofErr w:type="gramStart"/>
      <w:r w:rsidRPr="0004241E">
        <w:rPr>
          <w:sz w:val="22"/>
          <w:szCs w:val="22"/>
          <w:highlight w:val="green"/>
        </w:rPr>
        <w:t>at</w:t>
      </w:r>
      <w:proofErr w:type="gramEnd"/>
      <w:r w:rsidRPr="0004241E">
        <w:rPr>
          <w:sz w:val="22"/>
          <w:szCs w:val="22"/>
          <w:highlight w:val="green"/>
        </w:rPr>
        <w:t xml:space="preserve"> December 31, 20</w:t>
      </w:r>
      <w:r w:rsidR="004F4755">
        <w:rPr>
          <w:sz w:val="22"/>
          <w:szCs w:val="22"/>
          <w:highlight w:val="green"/>
        </w:rPr>
        <w:t>CY</w:t>
      </w:r>
      <w:r w:rsidRPr="0004241E">
        <w:rPr>
          <w:sz w:val="22"/>
          <w:szCs w:val="22"/>
          <w:highlight w:val="green"/>
        </w:rPr>
        <w:t>, is $XXX.</w:t>
      </w:r>
    </w:p>
    <w:p w14:paraId="3CBE67B2" w14:textId="77777777" w:rsidR="00653C8D" w:rsidRDefault="00653C8D" w:rsidP="00533678">
      <w:pPr>
        <w:widowControl/>
        <w:rPr>
          <w:b/>
          <w:sz w:val="24"/>
          <w:szCs w:val="24"/>
        </w:rPr>
      </w:pPr>
    </w:p>
    <w:p w14:paraId="6F9CDDF2" w14:textId="77777777" w:rsidR="00CC68D8" w:rsidRPr="005374C3" w:rsidRDefault="00CC68D8" w:rsidP="00533678">
      <w:pPr>
        <w:widowControl/>
        <w:jc w:val="both"/>
        <w:rPr>
          <w:b/>
          <w:sz w:val="22"/>
          <w:szCs w:val="22"/>
          <w:u w:val="single"/>
        </w:rPr>
      </w:pPr>
    </w:p>
    <w:p w14:paraId="198E1678" w14:textId="77777777" w:rsidR="00245DF5" w:rsidRPr="00CC75EE" w:rsidRDefault="00245DF5" w:rsidP="00533678">
      <w:pPr>
        <w:widowControl/>
        <w:jc w:val="both"/>
        <w:rPr>
          <w:b/>
          <w:sz w:val="24"/>
          <w:szCs w:val="24"/>
        </w:rPr>
      </w:pPr>
      <w:r w:rsidRPr="00CC75EE">
        <w:rPr>
          <w:b/>
          <w:sz w:val="24"/>
          <w:szCs w:val="24"/>
        </w:rPr>
        <w:t>Note 2</w:t>
      </w:r>
      <w:r w:rsidR="0004241E">
        <w:rPr>
          <w:b/>
          <w:sz w:val="24"/>
          <w:szCs w:val="24"/>
        </w:rPr>
        <w:t>0</w:t>
      </w:r>
      <w:r w:rsidRPr="00CC75EE">
        <w:rPr>
          <w:b/>
          <w:sz w:val="24"/>
          <w:szCs w:val="24"/>
        </w:rPr>
        <w:t xml:space="preserve"> – Subsequent Events</w:t>
      </w:r>
    </w:p>
    <w:p w14:paraId="7B00C8F1" w14:textId="77777777" w:rsidR="00245DF5" w:rsidRPr="005374C3" w:rsidRDefault="00245DF5" w:rsidP="00533678">
      <w:pPr>
        <w:widowControl/>
        <w:jc w:val="both"/>
        <w:rPr>
          <w:sz w:val="22"/>
          <w:szCs w:val="22"/>
        </w:rPr>
      </w:pPr>
    </w:p>
    <w:p w14:paraId="6829AD19" w14:textId="61527AF7" w:rsidR="00165280" w:rsidRPr="0004241E" w:rsidRDefault="00FD76BA" w:rsidP="00533678">
      <w:pPr>
        <w:widowControl/>
        <w:jc w:val="both"/>
        <w:rPr>
          <w:sz w:val="22"/>
          <w:szCs w:val="22"/>
        </w:rPr>
      </w:pPr>
      <w:r w:rsidRPr="00D930DB">
        <w:rPr>
          <w:sz w:val="22"/>
          <w:szCs w:val="22"/>
          <w:highlight w:val="yellow"/>
        </w:rPr>
        <w:t xml:space="preserve">Identify any event occurring after the end of the year that significantly affects the financial condition of the </w:t>
      </w:r>
      <w:r>
        <w:rPr>
          <w:sz w:val="22"/>
          <w:szCs w:val="22"/>
          <w:highlight w:val="yellow"/>
        </w:rPr>
        <w:t>Library</w:t>
      </w:r>
      <w:r w:rsidRPr="00D930DB">
        <w:rPr>
          <w:sz w:val="22"/>
          <w:szCs w:val="22"/>
          <w:highlight w:val="yellow"/>
        </w:rPr>
        <w:t xml:space="preserve"> (debt issue, tax levy, etc.).  </w:t>
      </w:r>
      <w:r w:rsidRPr="008F25C7">
        <w:rPr>
          <w:sz w:val="22"/>
          <w:szCs w:val="22"/>
          <w:highlight w:val="cyan"/>
        </w:rPr>
        <w:t>See GASB Codification Section 2250 starting at paragraph .109 for further guidance.</w:t>
      </w:r>
    </w:p>
    <w:p w14:paraId="21E2997C" w14:textId="77777777" w:rsidR="00245DF5" w:rsidRDefault="00245DF5" w:rsidP="00533678">
      <w:pPr>
        <w:widowControl/>
        <w:rPr>
          <w:b/>
          <w:bCs/>
          <w:sz w:val="22"/>
          <w:szCs w:val="22"/>
        </w:rPr>
      </w:pPr>
    </w:p>
    <w:p w14:paraId="0D26F820" w14:textId="77777777" w:rsidR="00ED3B48" w:rsidRDefault="00ED3B48" w:rsidP="00533678">
      <w:pPr>
        <w:widowControl/>
        <w:rPr>
          <w:b/>
          <w:bCs/>
          <w:sz w:val="22"/>
          <w:szCs w:val="22"/>
        </w:rPr>
      </w:pPr>
    </w:p>
    <w:p w14:paraId="0FD57AC0" w14:textId="77777777" w:rsidR="003F10C3" w:rsidRDefault="003F10C3" w:rsidP="00533678">
      <w:pPr>
        <w:widowControl/>
        <w:rPr>
          <w:b/>
          <w:bCs/>
          <w:sz w:val="22"/>
          <w:szCs w:val="22"/>
        </w:rPr>
      </w:pPr>
    </w:p>
    <w:p w14:paraId="2328AE21" w14:textId="77777777" w:rsidR="00854F3C" w:rsidRDefault="00ED3B48" w:rsidP="00854F3C">
      <w:pPr>
        <w:jc w:val="both"/>
        <w:rPr>
          <w:b/>
          <w:sz w:val="22"/>
          <w:szCs w:val="22"/>
        </w:rPr>
      </w:pPr>
      <w:r w:rsidRPr="005374C3">
        <w:rPr>
          <w:b/>
          <w:sz w:val="24"/>
          <w:szCs w:val="24"/>
        </w:rPr>
        <w:t xml:space="preserve">Note </w:t>
      </w:r>
      <w:r w:rsidR="0004241E">
        <w:rPr>
          <w:b/>
          <w:sz w:val="24"/>
          <w:szCs w:val="24"/>
        </w:rPr>
        <w:t>21</w:t>
      </w:r>
      <w:r w:rsidRPr="005374C3">
        <w:rPr>
          <w:b/>
          <w:sz w:val="24"/>
          <w:szCs w:val="24"/>
        </w:rPr>
        <w:t xml:space="preserve"> – </w:t>
      </w:r>
      <w:r w:rsidR="00854F3C" w:rsidRPr="00721E1B">
        <w:rPr>
          <w:b/>
          <w:sz w:val="22"/>
          <w:szCs w:val="22"/>
          <w:highlight w:val="cyan"/>
        </w:rPr>
        <w:t>Change in Financing Reporting Framework or Accounting Changes/Error Correction</w:t>
      </w:r>
      <w:r w:rsidR="00854F3C">
        <w:rPr>
          <w:b/>
          <w:sz w:val="22"/>
          <w:szCs w:val="22"/>
        </w:rPr>
        <w:t xml:space="preserve"> (Adjust heading as needed to reflect changes in financial reporting framework/accounting changes/error corrections)</w:t>
      </w:r>
    </w:p>
    <w:p w14:paraId="6AACFD08" w14:textId="77777777" w:rsidR="00854F3C" w:rsidRDefault="00854F3C" w:rsidP="00854F3C">
      <w:pPr>
        <w:jc w:val="both"/>
        <w:rPr>
          <w:b/>
          <w:sz w:val="22"/>
          <w:szCs w:val="22"/>
        </w:rPr>
      </w:pPr>
    </w:p>
    <w:p w14:paraId="0973FBF8" w14:textId="77777777" w:rsidR="00854F3C" w:rsidRPr="00781BC3" w:rsidRDefault="00854F3C" w:rsidP="00854F3C">
      <w:pPr>
        <w:jc w:val="both"/>
        <w:rPr>
          <w:b/>
          <w:bCs/>
          <w:i/>
          <w:iCs/>
          <w:sz w:val="22"/>
          <w:szCs w:val="22"/>
        </w:rPr>
      </w:pPr>
      <w:r w:rsidRPr="00781BC3">
        <w:rPr>
          <w:b/>
          <w:bCs/>
          <w:i/>
          <w:iCs/>
          <w:sz w:val="22"/>
          <w:szCs w:val="22"/>
        </w:rPr>
        <w:t xml:space="preserve">Change in </w:t>
      </w:r>
      <w:r>
        <w:rPr>
          <w:b/>
          <w:bCs/>
          <w:i/>
          <w:iCs/>
          <w:sz w:val="22"/>
          <w:szCs w:val="22"/>
        </w:rPr>
        <w:t>Financial Reporting Framework</w:t>
      </w:r>
    </w:p>
    <w:p w14:paraId="41960753" w14:textId="77777777" w:rsidR="00854F3C" w:rsidRDefault="00854F3C" w:rsidP="00854F3C">
      <w:pPr>
        <w:jc w:val="both"/>
        <w:rPr>
          <w:sz w:val="22"/>
          <w:szCs w:val="22"/>
        </w:rPr>
      </w:pPr>
    </w:p>
    <w:p w14:paraId="33A3D7C4" w14:textId="77777777" w:rsidR="00854F3C" w:rsidRPr="00781BC3" w:rsidRDefault="00854F3C" w:rsidP="00854F3C">
      <w:pPr>
        <w:jc w:val="both"/>
        <w:rPr>
          <w:b/>
          <w:bCs/>
          <w:i/>
          <w:iCs/>
          <w:sz w:val="22"/>
          <w:szCs w:val="22"/>
        </w:rPr>
      </w:pPr>
      <w:r w:rsidRPr="00781BC3">
        <w:rPr>
          <w:b/>
          <w:bCs/>
          <w:i/>
          <w:iCs/>
          <w:color w:val="000000"/>
          <w:sz w:val="22"/>
          <w:szCs w:val="22"/>
          <w:highlight w:val="yellow"/>
        </w:rPr>
        <w:t>Use the following note ONLY if you are converting from Regulatory to Modified Cash for the first time:</w:t>
      </w:r>
    </w:p>
    <w:p w14:paraId="2F994129" w14:textId="77777777" w:rsidR="00854F3C" w:rsidRDefault="00854F3C" w:rsidP="00854F3C">
      <w:pPr>
        <w:jc w:val="both"/>
        <w:rPr>
          <w:sz w:val="22"/>
          <w:szCs w:val="22"/>
        </w:rPr>
      </w:pPr>
    </w:p>
    <w:p w14:paraId="25659C43" w14:textId="37BB048E" w:rsidR="00854F3C" w:rsidRPr="00D930DB" w:rsidRDefault="00854F3C" w:rsidP="00854F3C">
      <w:pPr>
        <w:jc w:val="both"/>
        <w:rPr>
          <w:sz w:val="22"/>
          <w:szCs w:val="22"/>
        </w:rPr>
      </w:pPr>
      <w:r w:rsidRPr="00D930DB">
        <w:rPr>
          <w:sz w:val="22"/>
          <w:szCs w:val="22"/>
        </w:rPr>
        <w:lastRenderedPageBreak/>
        <w:t xml:space="preserve">Last year the </w:t>
      </w:r>
      <w:r w:rsidR="003E1671">
        <w:rPr>
          <w:sz w:val="22"/>
          <w:szCs w:val="22"/>
        </w:rPr>
        <w:t>Library</w:t>
      </w:r>
      <w:r w:rsidRPr="00D930DB">
        <w:rPr>
          <w:sz w:val="22"/>
          <w:szCs w:val="22"/>
        </w:rPr>
        <w:t xml:space="preserve"> reported fund financial statements by fund type using the regulatory basis of accounting as prescribed by the State Auditor’s Office.  This year the </w:t>
      </w:r>
      <w:r w:rsidR="003E1671">
        <w:rPr>
          <w:sz w:val="22"/>
          <w:szCs w:val="22"/>
        </w:rPr>
        <w:t>Library</w:t>
      </w:r>
      <w:r w:rsidRPr="00D930DB">
        <w:rPr>
          <w:sz w:val="22"/>
          <w:szCs w:val="22"/>
        </w:rPr>
        <w:t xml:space="preserve"> has implemented the modified cash basis of accounting described in Note 2.  The fund financial statements now present each major fund in a separate column with nonmajor funds aggregated and presented in a single column, rather than a column for each fund type.</w:t>
      </w:r>
    </w:p>
    <w:p w14:paraId="46286C10" w14:textId="77777777" w:rsidR="00854F3C" w:rsidRPr="00D930DB" w:rsidRDefault="00854F3C" w:rsidP="00854F3C">
      <w:pPr>
        <w:jc w:val="both"/>
        <w:rPr>
          <w:sz w:val="22"/>
          <w:szCs w:val="22"/>
        </w:rPr>
      </w:pPr>
    </w:p>
    <w:p w14:paraId="17C684B8" w14:textId="1CA9CC91" w:rsidR="00854F3C" w:rsidRPr="00D930DB" w:rsidRDefault="00854F3C" w:rsidP="00854F3C">
      <w:pPr>
        <w:jc w:val="both"/>
        <w:rPr>
          <w:sz w:val="22"/>
          <w:szCs w:val="22"/>
        </w:rPr>
      </w:pPr>
      <w:r w:rsidRPr="00D930DB">
        <w:rPr>
          <w:sz w:val="22"/>
          <w:szCs w:val="22"/>
          <w:highlight w:val="yellow"/>
        </w:rPr>
        <w:t>(Modify or delete the following narrative and tables, a</w:t>
      </w:r>
      <w:r>
        <w:rPr>
          <w:sz w:val="22"/>
          <w:szCs w:val="22"/>
          <w:highlight w:val="yellow"/>
        </w:rPr>
        <w:t xml:space="preserve">s appropriate, given the </w:t>
      </w:r>
      <w:r w:rsidR="00FF6F2C">
        <w:rPr>
          <w:sz w:val="22"/>
          <w:szCs w:val="22"/>
          <w:highlight w:val="yellow"/>
        </w:rPr>
        <w:t>Library’s</w:t>
      </w:r>
      <w:r w:rsidRPr="00D930DB">
        <w:rPr>
          <w:sz w:val="22"/>
          <w:szCs w:val="22"/>
          <w:highlight w:val="yellow"/>
        </w:rPr>
        <w:t xml:space="preserve"> choices regarding the reporting of inventory, prepaid items, interfund receivables (payables), capital assets, and long-term debt.)</w:t>
      </w:r>
    </w:p>
    <w:p w14:paraId="35DE57B1" w14:textId="77777777" w:rsidR="00854F3C" w:rsidRPr="00D930DB" w:rsidRDefault="00854F3C" w:rsidP="00854F3C">
      <w:pPr>
        <w:jc w:val="both"/>
        <w:rPr>
          <w:i/>
          <w:sz w:val="22"/>
          <w:szCs w:val="22"/>
        </w:rPr>
      </w:pPr>
    </w:p>
    <w:p w14:paraId="2DD6FAC4" w14:textId="2D7AF7C2" w:rsidR="00854F3C" w:rsidRPr="00D930DB" w:rsidRDefault="00854F3C" w:rsidP="00854F3C">
      <w:pPr>
        <w:jc w:val="both"/>
        <w:rPr>
          <w:sz w:val="22"/>
          <w:szCs w:val="22"/>
          <w:highlight w:val="green"/>
        </w:rPr>
      </w:pPr>
      <w:r w:rsidRPr="00D930DB">
        <w:rPr>
          <w:sz w:val="22"/>
          <w:szCs w:val="22"/>
          <w:highlight w:val="green"/>
        </w:rPr>
        <w:t xml:space="preserve">As described in Note 2, the </w:t>
      </w:r>
      <w:r w:rsidR="003E1671">
        <w:rPr>
          <w:sz w:val="22"/>
          <w:szCs w:val="22"/>
          <w:highlight w:val="green"/>
        </w:rPr>
        <w:t>Library</w:t>
      </w:r>
      <w:r w:rsidRPr="00D930DB">
        <w:rPr>
          <w:sz w:val="22"/>
          <w:szCs w:val="22"/>
          <w:highlight w:val="green"/>
        </w:rPr>
        <w:t xml:space="preserve"> made the following modifications to the </w:t>
      </w:r>
      <w:r>
        <w:rPr>
          <w:sz w:val="22"/>
          <w:szCs w:val="22"/>
          <w:highlight w:val="green"/>
        </w:rPr>
        <w:t xml:space="preserve">regulatory </w:t>
      </w:r>
      <w:r w:rsidRPr="00D930DB">
        <w:rPr>
          <w:sz w:val="22"/>
          <w:szCs w:val="22"/>
          <w:highlight w:val="green"/>
        </w:rPr>
        <w:t xml:space="preserve">cash basis of accounting in implementing the </w:t>
      </w:r>
      <w:r w:rsidRPr="00D930DB">
        <w:rPr>
          <w:i/>
          <w:sz w:val="22"/>
          <w:szCs w:val="22"/>
          <w:highlight w:val="green"/>
        </w:rPr>
        <w:t>modified</w:t>
      </w:r>
      <w:r w:rsidRPr="00D930DB">
        <w:rPr>
          <w:sz w:val="22"/>
          <w:szCs w:val="22"/>
          <w:highlight w:val="green"/>
        </w:rPr>
        <w:t xml:space="preserve"> cash basis of accounting:</w:t>
      </w:r>
    </w:p>
    <w:p w14:paraId="2B5F0666" w14:textId="77777777" w:rsidR="00854F3C" w:rsidRPr="00D930DB" w:rsidRDefault="00854F3C" w:rsidP="00854F3C">
      <w:pPr>
        <w:jc w:val="both"/>
        <w:rPr>
          <w:sz w:val="22"/>
          <w:szCs w:val="22"/>
          <w:highlight w:val="green"/>
        </w:rPr>
      </w:pPr>
    </w:p>
    <w:bookmarkStart w:id="196" w:name="_MON_1686637872"/>
    <w:bookmarkEnd w:id="196"/>
    <w:p w14:paraId="77853EAF" w14:textId="5780832A" w:rsidR="00854F3C" w:rsidRPr="00D930DB" w:rsidRDefault="00AD2932" w:rsidP="00854F3C">
      <w:pPr>
        <w:jc w:val="center"/>
        <w:rPr>
          <w:sz w:val="22"/>
          <w:szCs w:val="22"/>
          <w:highlight w:val="green"/>
          <w:lang w:eastAsia="ja-JP"/>
        </w:rPr>
      </w:pPr>
      <w:r w:rsidRPr="00D930DB">
        <w:rPr>
          <w:noProof/>
          <w:sz w:val="22"/>
          <w:szCs w:val="22"/>
          <w:highlight w:val="green"/>
          <w:lang w:eastAsia="ja-JP"/>
        </w:rPr>
        <w:object w:dxaOrig="9513" w:dyaOrig="5673" w14:anchorId="40A8FFC5">
          <v:shape id="_x0000_i1040" type="#_x0000_t75" style="width:460.2pt;height:271.2pt" o:ole="">
            <v:imagedata r:id="rId46" o:title=""/>
            <o:lock v:ext="edit" aspectratio="f"/>
          </v:shape>
          <o:OLEObject Type="Embed" ProgID="Excel.Sheet.12" ShapeID="_x0000_i1040" DrawAspect="Content" ObjectID="_1798480942" r:id="rId47"/>
        </w:object>
      </w:r>
    </w:p>
    <w:p w14:paraId="4DC2B24A" w14:textId="77777777" w:rsidR="00854F3C" w:rsidRPr="00D930DB" w:rsidRDefault="00854F3C" w:rsidP="00854F3C">
      <w:pPr>
        <w:jc w:val="both"/>
        <w:rPr>
          <w:sz w:val="22"/>
          <w:szCs w:val="22"/>
          <w:highlight w:val="green"/>
        </w:rPr>
      </w:pPr>
      <w:r w:rsidRPr="00D930DB">
        <w:rPr>
          <w:sz w:val="22"/>
          <w:szCs w:val="22"/>
          <w:highlight w:val="green"/>
        </w:rPr>
        <w:t>The restatement of the business-type activities is as follows:</w:t>
      </w:r>
    </w:p>
    <w:p w14:paraId="413E9E52" w14:textId="77777777" w:rsidR="00854F3C" w:rsidRPr="00D930DB" w:rsidRDefault="00854F3C" w:rsidP="00854F3C">
      <w:pPr>
        <w:jc w:val="both"/>
        <w:rPr>
          <w:sz w:val="22"/>
          <w:szCs w:val="22"/>
          <w:highlight w:val="green"/>
        </w:rPr>
      </w:pPr>
    </w:p>
    <w:bookmarkStart w:id="197" w:name="_MON_1686638039"/>
    <w:bookmarkEnd w:id="197"/>
    <w:p w14:paraId="1A4C76AD" w14:textId="5CC7D059" w:rsidR="00854F3C" w:rsidRPr="00D930DB" w:rsidRDefault="00AD2932" w:rsidP="00854F3C">
      <w:pPr>
        <w:jc w:val="center"/>
        <w:rPr>
          <w:sz w:val="22"/>
          <w:szCs w:val="22"/>
          <w:lang w:eastAsia="ja-JP"/>
        </w:rPr>
      </w:pPr>
      <w:r w:rsidRPr="00D930DB">
        <w:rPr>
          <w:noProof/>
          <w:sz w:val="22"/>
          <w:szCs w:val="22"/>
          <w:highlight w:val="green"/>
          <w:lang w:eastAsia="ja-JP"/>
        </w:rPr>
        <w:object w:dxaOrig="8888" w:dyaOrig="5673" w14:anchorId="2E68ECC1">
          <v:shape id="_x0000_i1041" type="#_x0000_t75" style="width:430.2pt;height:271.2pt" o:ole="">
            <v:imagedata r:id="rId48" o:title=""/>
            <o:lock v:ext="edit" aspectratio="f"/>
          </v:shape>
          <o:OLEObject Type="Embed" ProgID="Excel.Sheet.12" ShapeID="_x0000_i1041" DrawAspect="Content" ObjectID="_1798480943" r:id="rId49"/>
        </w:object>
      </w:r>
    </w:p>
    <w:p w14:paraId="78038E73" w14:textId="77777777" w:rsidR="003E1671" w:rsidRDefault="003E1671" w:rsidP="00854F3C">
      <w:pPr>
        <w:pStyle w:val="NormalWeb"/>
        <w:jc w:val="both"/>
        <w:rPr>
          <w:color w:val="000000"/>
          <w:sz w:val="22"/>
          <w:szCs w:val="22"/>
          <w:highlight w:val="cyan"/>
        </w:rPr>
      </w:pPr>
    </w:p>
    <w:p w14:paraId="027177E2" w14:textId="617F9EFF" w:rsidR="00854F3C" w:rsidRPr="00DC4482" w:rsidRDefault="00854F3C" w:rsidP="00854F3C">
      <w:pPr>
        <w:pStyle w:val="NormalWeb"/>
        <w:jc w:val="both"/>
        <w:rPr>
          <w:color w:val="000000"/>
          <w:sz w:val="22"/>
          <w:szCs w:val="22"/>
          <w:highlight w:val="cyan"/>
        </w:rPr>
      </w:pPr>
      <w:r w:rsidRPr="00DC4482">
        <w:rPr>
          <w:color w:val="000000"/>
          <w:sz w:val="22"/>
          <w:szCs w:val="22"/>
          <w:highlight w:val="cyan"/>
        </w:rPr>
        <w:t>Accounting Changes/Error Corrections</w:t>
      </w:r>
    </w:p>
    <w:p w14:paraId="5610D2F2" w14:textId="77777777" w:rsidR="00854F3C" w:rsidRDefault="00854F3C" w:rsidP="00854F3C">
      <w:pPr>
        <w:pStyle w:val="NormalWeb"/>
        <w:jc w:val="both"/>
        <w:rPr>
          <w:b w:val="0"/>
          <w:bCs/>
          <w:i w:val="0"/>
          <w:iCs/>
          <w:color w:val="000000"/>
          <w:sz w:val="22"/>
          <w:szCs w:val="22"/>
          <w:highlight w:val="yellow"/>
        </w:rPr>
      </w:pPr>
    </w:p>
    <w:p w14:paraId="5E797072" w14:textId="77777777" w:rsidR="00854F3C" w:rsidRDefault="00854F3C" w:rsidP="00854F3C">
      <w:pPr>
        <w:pStyle w:val="NormalWeb"/>
        <w:jc w:val="both"/>
        <w:rPr>
          <w:b w:val="0"/>
          <w:bCs/>
          <w:i w:val="0"/>
          <w:iCs/>
          <w:color w:val="000000"/>
          <w:sz w:val="22"/>
          <w:szCs w:val="22"/>
        </w:rPr>
      </w:pPr>
      <w:r w:rsidRPr="001A33ED">
        <w:rPr>
          <w:b w:val="0"/>
          <w:bCs/>
          <w:i w:val="0"/>
          <w:iCs/>
          <w:color w:val="000000"/>
          <w:sz w:val="22"/>
          <w:szCs w:val="22"/>
          <w:highlight w:val="yellow"/>
        </w:rPr>
        <w:t xml:space="preserve">See GASB 100 </w:t>
      </w:r>
      <w:r>
        <w:rPr>
          <w:b w:val="0"/>
          <w:bCs/>
          <w:i w:val="0"/>
          <w:iCs/>
          <w:color w:val="000000"/>
          <w:sz w:val="22"/>
          <w:szCs w:val="22"/>
          <w:highlight w:val="yellow"/>
        </w:rPr>
        <w:t xml:space="preserve">for background information for accounting changes and error corrections.  See also </w:t>
      </w:r>
      <w:hyperlink r:id="rId50" w:history="1">
        <w:r w:rsidRPr="001A4AF6">
          <w:rPr>
            <w:b w:val="0"/>
            <w:i w:val="0"/>
            <w:color w:val="0000FF"/>
            <w:sz w:val="22"/>
            <w:szCs w:val="22"/>
            <w:highlight w:val="yellow"/>
            <w:u w:val="single"/>
          </w:rPr>
          <w:t>GASB FAQs</w:t>
        </w:r>
      </w:hyperlink>
      <w:r w:rsidRPr="001A4AF6">
        <w:rPr>
          <w:b w:val="0"/>
          <w:i w:val="0"/>
          <w:sz w:val="22"/>
          <w:szCs w:val="22"/>
          <w:highlight w:val="yellow"/>
        </w:rPr>
        <w:t xml:space="preserve"> for additional information</w:t>
      </w:r>
      <w:r w:rsidRPr="001A4AF6">
        <w:rPr>
          <w:b w:val="0"/>
          <w:bCs/>
          <w:i w:val="0"/>
          <w:iCs/>
          <w:color w:val="000000"/>
          <w:sz w:val="22"/>
          <w:szCs w:val="22"/>
          <w:highlight w:val="yellow"/>
        </w:rPr>
        <w:t>.</w:t>
      </w:r>
      <w:r>
        <w:rPr>
          <w:b w:val="0"/>
          <w:bCs/>
          <w:i w:val="0"/>
          <w:iCs/>
          <w:color w:val="000000"/>
          <w:sz w:val="22"/>
          <w:szCs w:val="22"/>
        </w:rPr>
        <w:t xml:space="preserve"> </w:t>
      </w:r>
    </w:p>
    <w:p w14:paraId="73DBB0C9" w14:textId="77777777" w:rsidR="00854F3C" w:rsidRDefault="00854F3C" w:rsidP="00854F3C">
      <w:pPr>
        <w:pStyle w:val="NormalWeb"/>
        <w:jc w:val="both"/>
        <w:rPr>
          <w:b w:val="0"/>
          <w:bCs/>
          <w:i w:val="0"/>
          <w:iCs/>
          <w:color w:val="000000"/>
          <w:sz w:val="22"/>
          <w:szCs w:val="22"/>
        </w:rPr>
      </w:pPr>
    </w:p>
    <w:p w14:paraId="0DAAAA2F" w14:textId="77777777" w:rsidR="009F0A15" w:rsidRPr="00CA3305" w:rsidRDefault="009F0A15" w:rsidP="009F0A15">
      <w:pPr>
        <w:jc w:val="both"/>
        <w:rPr>
          <w:b/>
          <w:i/>
          <w:iCs/>
          <w:sz w:val="22"/>
          <w:szCs w:val="22"/>
        </w:rPr>
      </w:pPr>
      <w:bookmarkStart w:id="198" w:name="_Hlk175241375"/>
      <w:bookmarkStart w:id="199" w:name="_Hlk174517617"/>
      <w:r w:rsidRPr="004B1A86">
        <w:rPr>
          <w:b/>
          <w:i/>
          <w:iCs/>
          <w:sz w:val="22"/>
          <w:szCs w:val="22"/>
          <w:highlight w:val="cyan"/>
        </w:rPr>
        <w:t>Change in Accounting Principle</w:t>
      </w:r>
    </w:p>
    <w:p w14:paraId="674F7E00" w14:textId="77777777" w:rsidR="009F0A15" w:rsidRPr="00E46957" w:rsidRDefault="009F0A15" w:rsidP="009F0A15">
      <w:pPr>
        <w:pStyle w:val="NormalWeb"/>
        <w:jc w:val="both"/>
        <w:rPr>
          <w:b w:val="0"/>
          <w:bCs/>
          <w:i w:val="0"/>
          <w:iCs/>
          <w:color w:val="000000"/>
          <w:sz w:val="22"/>
          <w:szCs w:val="22"/>
        </w:rPr>
      </w:pPr>
    </w:p>
    <w:p w14:paraId="00366F52" w14:textId="22231998" w:rsidR="00854F3C" w:rsidRPr="00344736" w:rsidRDefault="009F0A15" w:rsidP="009F0A15">
      <w:pPr>
        <w:pStyle w:val="NormalWeb"/>
        <w:jc w:val="both"/>
        <w:rPr>
          <w:b w:val="0"/>
          <w:iCs/>
          <w:color w:val="000000"/>
          <w:sz w:val="22"/>
          <w:szCs w:val="22"/>
          <w:highlight w:val="yellow"/>
        </w:rPr>
      </w:pPr>
      <w:r w:rsidRPr="00E46957">
        <w:rPr>
          <w:b w:val="0"/>
          <w:i w:val="0"/>
          <w:color w:val="000000"/>
          <w:sz w:val="22"/>
          <w:szCs w:val="22"/>
          <w:highlight w:val="green"/>
        </w:rPr>
        <w:t>For 2024,</w:t>
      </w:r>
      <w:r>
        <w:rPr>
          <w:b w:val="0"/>
          <w:i w:val="0"/>
          <w:color w:val="000000"/>
          <w:sz w:val="22"/>
          <w:szCs w:val="22"/>
          <w:highlight w:val="green"/>
        </w:rPr>
        <w:t xml:space="preserve"> </w:t>
      </w:r>
      <w:r w:rsidRPr="00E46957">
        <w:rPr>
          <w:b w:val="0"/>
          <w:i w:val="0"/>
          <w:color w:val="000000"/>
          <w:sz w:val="22"/>
          <w:szCs w:val="22"/>
          <w:highlight w:val="green"/>
        </w:rPr>
        <w:t xml:space="preserve">GASB Statement No. 100, </w:t>
      </w:r>
      <w:r w:rsidRPr="00E46957">
        <w:rPr>
          <w:b w:val="0"/>
          <w:iCs/>
          <w:color w:val="000000"/>
          <w:sz w:val="22"/>
          <w:szCs w:val="22"/>
          <w:highlight w:val="green"/>
        </w:rPr>
        <w:t>Accounting Changes and Error Corrections</w:t>
      </w:r>
      <w:r>
        <w:rPr>
          <w:b w:val="0"/>
          <w:iCs/>
          <w:color w:val="000000"/>
          <w:sz w:val="22"/>
          <w:szCs w:val="22"/>
          <w:highlight w:val="green"/>
        </w:rPr>
        <w:t xml:space="preserve">, </w:t>
      </w:r>
      <w:r w:rsidRPr="004B1A86">
        <w:rPr>
          <w:b w:val="0"/>
          <w:i w:val="0"/>
          <w:color w:val="000000"/>
          <w:sz w:val="22"/>
          <w:szCs w:val="22"/>
          <w:highlight w:val="green"/>
        </w:rPr>
        <w:t>and</w:t>
      </w:r>
      <w:r>
        <w:rPr>
          <w:b w:val="0"/>
          <w:iCs/>
          <w:color w:val="000000"/>
          <w:sz w:val="22"/>
          <w:szCs w:val="22"/>
          <w:highlight w:val="green"/>
        </w:rPr>
        <w:t xml:space="preserve"> </w:t>
      </w:r>
      <w:r w:rsidRPr="004B1A86">
        <w:rPr>
          <w:b w:val="0"/>
          <w:i w:val="0"/>
          <w:color w:val="000000"/>
          <w:sz w:val="22"/>
          <w:szCs w:val="22"/>
          <w:highlight w:val="green"/>
        </w:rPr>
        <w:t>GASB Statement No. 101</w:t>
      </w:r>
      <w:r>
        <w:rPr>
          <w:b w:val="0"/>
          <w:i w:val="0"/>
          <w:color w:val="000000"/>
          <w:sz w:val="22"/>
          <w:szCs w:val="22"/>
          <w:highlight w:val="green"/>
        </w:rPr>
        <w:t>,</w:t>
      </w:r>
      <w:r w:rsidRPr="004B1A86">
        <w:rPr>
          <w:b w:val="0"/>
          <w:i w:val="0"/>
          <w:color w:val="000000"/>
          <w:sz w:val="22"/>
          <w:szCs w:val="22"/>
          <w:highlight w:val="green"/>
        </w:rPr>
        <w:t xml:space="preserve"> </w:t>
      </w:r>
      <w:r w:rsidRPr="004B1A86">
        <w:rPr>
          <w:b w:val="0"/>
          <w:iCs/>
          <w:color w:val="000000"/>
          <w:sz w:val="22"/>
          <w:szCs w:val="22"/>
          <w:highlight w:val="green"/>
        </w:rPr>
        <w:t>Compensated Absences</w:t>
      </w:r>
      <w:r>
        <w:rPr>
          <w:b w:val="0"/>
          <w:iCs/>
          <w:color w:val="000000"/>
          <w:sz w:val="22"/>
          <w:szCs w:val="22"/>
          <w:highlight w:val="green"/>
        </w:rPr>
        <w:t>,</w:t>
      </w:r>
      <w:r>
        <w:rPr>
          <w:b w:val="0"/>
          <w:i w:val="0"/>
          <w:color w:val="000000"/>
          <w:sz w:val="22"/>
          <w:szCs w:val="22"/>
          <w:highlight w:val="cyan"/>
        </w:rPr>
        <w:t xml:space="preserve"> </w:t>
      </w:r>
      <w:r w:rsidRPr="004B1A86">
        <w:rPr>
          <w:b w:val="0"/>
          <w:i w:val="0"/>
          <w:color w:val="000000"/>
          <w:sz w:val="22"/>
          <w:szCs w:val="22"/>
          <w:highlight w:val="green"/>
        </w:rPr>
        <w:t xml:space="preserve">were effective.  GASB 100 had no effect on beginning net position/fund balance as the </w:t>
      </w:r>
      <w:r w:rsidR="00C01470">
        <w:rPr>
          <w:b w:val="0"/>
          <w:i w:val="0"/>
          <w:color w:val="000000"/>
          <w:sz w:val="22"/>
          <w:szCs w:val="22"/>
          <w:highlight w:val="green"/>
        </w:rPr>
        <w:t>Library</w:t>
      </w:r>
      <w:r w:rsidRPr="004B1A86">
        <w:rPr>
          <w:b w:val="0"/>
          <w:i w:val="0"/>
          <w:color w:val="000000"/>
          <w:sz w:val="22"/>
          <w:szCs w:val="22"/>
          <w:highlight w:val="green"/>
        </w:rPr>
        <w:t xml:space="preserve"> had no accounting changes or error corrections related to 2024. </w:t>
      </w:r>
      <w:r w:rsidRPr="00B47B9E">
        <w:rPr>
          <w:b w:val="0"/>
          <w:i w:val="0"/>
          <w:color w:val="000000"/>
          <w:sz w:val="22"/>
          <w:szCs w:val="22"/>
          <w:highlight w:val="cyan"/>
        </w:rPr>
        <w:t>(Edit as needed)</w:t>
      </w:r>
      <w:r>
        <w:rPr>
          <w:b w:val="0"/>
          <w:i w:val="0"/>
          <w:color w:val="000000"/>
          <w:sz w:val="22"/>
          <w:szCs w:val="22"/>
          <w:highlight w:val="cyan"/>
        </w:rPr>
        <w:t xml:space="preserve">  </w:t>
      </w:r>
      <w:r w:rsidRPr="004B1A86">
        <w:rPr>
          <w:b w:val="0"/>
          <w:i w:val="0"/>
          <w:color w:val="000000"/>
          <w:sz w:val="22"/>
          <w:szCs w:val="22"/>
          <w:highlight w:val="green"/>
        </w:rPr>
        <w:t>GASB 101 had no effect on beginning net position/fund balance as u</w:t>
      </w:r>
      <w:r w:rsidRPr="004B1A86">
        <w:rPr>
          <w:b w:val="0"/>
          <w:i w:val="0"/>
          <w:sz w:val="22"/>
          <w:szCs w:val="22"/>
          <w:highlight w:val="green"/>
        </w:rPr>
        <w:t xml:space="preserve">npaid leave is not reflected as a liability under the </w:t>
      </w:r>
      <w:r w:rsidR="00C01470">
        <w:rPr>
          <w:b w:val="0"/>
          <w:i w:val="0"/>
          <w:sz w:val="22"/>
          <w:szCs w:val="22"/>
          <w:highlight w:val="green"/>
        </w:rPr>
        <w:t>Library</w:t>
      </w:r>
      <w:r w:rsidRPr="004B1A86">
        <w:rPr>
          <w:b w:val="0"/>
          <w:i w:val="0"/>
          <w:sz w:val="22"/>
          <w:szCs w:val="22"/>
          <w:highlight w:val="green"/>
        </w:rPr>
        <w:t xml:space="preserve">’s modified </w:t>
      </w:r>
      <w:r w:rsidRPr="004B1A86">
        <w:rPr>
          <w:b w:val="0"/>
          <w:i w:val="0"/>
          <w:sz w:val="22"/>
          <w:szCs w:val="22"/>
          <w:highlight w:val="yellow"/>
        </w:rPr>
        <w:t xml:space="preserve">(remove modified as applicable) </w:t>
      </w:r>
      <w:r w:rsidRPr="004B1A86">
        <w:rPr>
          <w:b w:val="0"/>
          <w:i w:val="0"/>
          <w:sz w:val="22"/>
          <w:szCs w:val="22"/>
          <w:highlight w:val="green"/>
        </w:rPr>
        <w:t>cash basis of accounting.</w:t>
      </w:r>
      <w:r>
        <w:rPr>
          <w:b w:val="0"/>
          <w:i w:val="0"/>
          <w:sz w:val="22"/>
          <w:szCs w:val="22"/>
        </w:rPr>
        <w:t xml:space="preserve">  </w:t>
      </w:r>
      <w:r w:rsidRPr="00781BC3">
        <w:rPr>
          <w:b w:val="0"/>
          <w:i w:val="0"/>
          <w:color w:val="000000"/>
          <w:sz w:val="22"/>
          <w:szCs w:val="22"/>
          <w:highlight w:val="yellow"/>
        </w:rPr>
        <w:t>(</w:t>
      </w:r>
      <w:r>
        <w:rPr>
          <w:b w:val="0"/>
          <w:i w:val="0"/>
          <w:color w:val="000000"/>
          <w:sz w:val="22"/>
          <w:szCs w:val="22"/>
          <w:highlight w:val="yellow"/>
        </w:rPr>
        <w:t xml:space="preserve">Edit as needed.  </w:t>
      </w:r>
      <w:r w:rsidRPr="00781BC3">
        <w:rPr>
          <w:b w:val="0"/>
          <w:i w:val="0"/>
          <w:color w:val="000000"/>
          <w:sz w:val="22"/>
          <w:szCs w:val="22"/>
          <w:highlight w:val="yellow"/>
        </w:rPr>
        <w:t>See GASB 100 for other types of Changes in Accounting Principle.</w:t>
      </w:r>
      <w:r>
        <w:rPr>
          <w:b w:val="0"/>
          <w:i w:val="0"/>
          <w:color w:val="000000"/>
          <w:sz w:val="22"/>
          <w:szCs w:val="22"/>
          <w:highlight w:val="yellow"/>
        </w:rPr>
        <w:t xml:space="preserve">  Also incorporate description for the implementation GASB implementation Guide 2021-1 question 5.1, if appropriate) </w:t>
      </w:r>
      <w:r w:rsidRPr="00F15A12">
        <w:rPr>
          <w:bCs/>
          <w:i w:val="0"/>
          <w:color w:val="000000"/>
          <w:sz w:val="22"/>
          <w:szCs w:val="22"/>
          <w:highlight w:val="yellow"/>
        </w:rPr>
        <w:t xml:space="preserve">(Note: If  the implementation of GASB 100 and GASB 101 have no impact to beginning net position/fund balance are the only accounting changes and there are no changes in accounting principle, no changes in accounting estimate, no changes to or within the reporting entity and no corrections of an error use the disclosure included in Note 2 for </w:t>
      </w:r>
      <w:r w:rsidRPr="00F15A12">
        <w:rPr>
          <w:bCs/>
          <w:iCs/>
          <w:color w:val="000000"/>
          <w:sz w:val="22"/>
          <w:szCs w:val="22"/>
          <w:highlight w:val="yellow"/>
        </w:rPr>
        <w:t xml:space="preserve">New Accounting Pronouncements </w:t>
      </w:r>
      <w:r w:rsidRPr="00F15A12">
        <w:rPr>
          <w:bCs/>
          <w:i w:val="0"/>
          <w:color w:val="000000"/>
          <w:sz w:val="22"/>
          <w:szCs w:val="22"/>
          <w:highlight w:val="yellow"/>
        </w:rPr>
        <w:t>for GASB 100</w:t>
      </w:r>
      <w:r w:rsidRPr="00F15A12">
        <w:rPr>
          <w:bCs/>
          <w:iCs/>
          <w:color w:val="000000"/>
          <w:sz w:val="22"/>
          <w:szCs w:val="22"/>
          <w:highlight w:val="yellow"/>
        </w:rPr>
        <w:t xml:space="preserve"> </w:t>
      </w:r>
      <w:r w:rsidRPr="00F15A12">
        <w:rPr>
          <w:bCs/>
          <w:i w:val="0"/>
          <w:color w:val="000000"/>
          <w:sz w:val="22"/>
          <w:szCs w:val="22"/>
          <w:highlight w:val="yellow"/>
        </w:rPr>
        <w:t xml:space="preserve">and the disclosure included in Note 2 </w:t>
      </w:r>
      <w:r w:rsidRPr="00F15A12">
        <w:rPr>
          <w:bCs/>
          <w:iCs/>
          <w:color w:val="000000"/>
          <w:sz w:val="22"/>
          <w:szCs w:val="22"/>
          <w:highlight w:val="yellow"/>
        </w:rPr>
        <w:t xml:space="preserve">Accumulated Leave </w:t>
      </w:r>
      <w:r w:rsidRPr="00F15A12">
        <w:rPr>
          <w:bCs/>
          <w:i w:val="0"/>
          <w:color w:val="000000"/>
          <w:sz w:val="22"/>
          <w:szCs w:val="22"/>
          <w:highlight w:val="yellow"/>
        </w:rPr>
        <w:t>for GASB 101</w:t>
      </w:r>
      <w:r w:rsidRPr="00F15A12">
        <w:rPr>
          <w:bCs/>
          <w:iCs/>
          <w:color w:val="000000"/>
          <w:sz w:val="22"/>
          <w:szCs w:val="22"/>
          <w:highlight w:val="yellow"/>
        </w:rPr>
        <w:t xml:space="preserve"> </w:t>
      </w:r>
      <w:r w:rsidRPr="00F15A12">
        <w:rPr>
          <w:bCs/>
          <w:i w:val="0"/>
          <w:color w:val="000000"/>
          <w:sz w:val="22"/>
          <w:szCs w:val="22"/>
          <w:highlight w:val="yellow"/>
        </w:rPr>
        <w:t>and delete here.</w:t>
      </w:r>
      <w:r>
        <w:rPr>
          <w:bCs/>
          <w:i w:val="0"/>
          <w:color w:val="000000"/>
          <w:sz w:val="22"/>
          <w:szCs w:val="22"/>
          <w:highlight w:val="yellow"/>
        </w:rPr>
        <w:t xml:space="preserve">  Discussion of the implementation of GASB 100 and 101 should either be included in this note or in Note 2.  It should not be addressed in both notes.</w:t>
      </w:r>
      <w:r w:rsidRPr="00F15A12">
        <w:rPr>
          <w:bCs/>
          <w:i w:val="0"/>
          <w:color w:val="000000"/>
          <w:sz w:val="22"/>
          <w:szCs w:val="22"/>
          <w:highlight w:val="yellow"/>
        </w:rPr>
        <w:t>)</w:t>
      </w:r>
    </w:p>
    <w:bookmarkEnd w:id="198"/>
    <w:p w14:paraId="4359561C" w14:textId="77777777" w:rsidR="00854F3C" w:rsidRPr="00781BC3" w:rsidRDefault="00854F3C" w:rsidP="00854F3C">
      <w:pPr>
        <w:pStyle w:val="NormalWeb"/>
        <w:jc w:val="both"/>
        <w:rPr>
          <w:b w:val="0"/>
          <w:i w:val="0"/>
          <w:color w:val="000000"/>
          <w:sz w:val="22"/>
          <w:szCs w:val="22"/>
        </w:rPr>
      </w:pPr>
    </w:p>
    <w:p w14:paraId="5549484A" w14:textId="77777777" w:rsidR="00854F3C" w:rsidRDefault="00854F3C" w:rsidP="00854F3C">
      <w:pPr>
        <w:pStyle w:val="NormalWeb"/>
        <w:jc w:val="both"/>
        <w:rPr>
          <w:color w:val="000000"/>
          <w:sz w:val="22"/>
          <w:szCs w:val="22"/>
        </w:rPr>
      </w:pPr>
      <w:r w:rsidRPr="00C01470">
        <w:rPr>
          <w:color w:val="000000"/>
          <w:sz w:val="22"/>
          <w:szCs w:val="22"/>
          <w:highlight w:val="cyan"/>
        </w:rPr>
        <w:t>Change in Accounting Estimate</w:t>
      </w:r>
    </w:p>
    <w:p w14:paraId="7767181F" w14:textId="77777777" w:rsidR="00854F3C" w:rsidRDefault="00854F3C" w:rsidP="00854F3C">
      <w:pPr>
        <w:pStyle w:val="NormalWeb"/>
        <w:jc w:val="both"/>
        <w:rPr>
          <w:color w:val="000000"/>
          <w:sz w:val="22"/>
          <w:szCs w:val="22"/>
        </w:rPr>
      </w:pPr>
    </w:p>
    <w:p w14:paraId="491543EA" w14:textId="77777777" w:rsidR="00854F3C" w:rsidRPr="00781BC3" w:rsidRDefault="00854F3C" w:rsidP="00854F3C">
      <w:pPr>
        <w:pStyle w:val="NormalWeb"/>
        <w:jc w:val="both"/>
        <w:rPr>
          <w:b w:val="0"/>
          <w:i w:val="0"/>
          <w:color w:val="000000"/>
          <w:sz w:val="22"/>
          <w:szCs w:val="22"/>
          <w:highlight w:val="yellow"/>
        </w:rPr>
      </w:pPr>
      <w:r>
        <w:rPr>
          <w:b w:val="0"/>
          <w:i w:val="0"/>
          <w:color w:val="000000"/>
          <w:sz w:val="22"/>
          <w:szCs w:val="22"/>
          <w:highlight w:val="yellow"/>
        </w:rPr>
        <w:t xml:space="preserve">(Insert explanation as needed.  </w:t>
      </w:r>
      <w:r w:rsidRPr="00781BC3">
        <w:rPr>
          <w:b w:val="0"/>
          <w:i w:val="0"/>
          <w:color w:val="000000"/>
          <w:sz w:val="22"/>
          <w:szCs w:val="22"/>
          <w:highlight w:val="yellow"/>
        </w:rPr>
        <w:t>See GASB 100 for other types of Changes in Accounting Principle.</w:t>
      </w:r>
      <w:r>
        <w:rPr>
          <w:b w:val="0"/>
          <w:i w:val="0"/>
          <w:color w:val="000000"/>
          <w:sz w:val="22"/>
          <w:szCs w:val="22"/>
          <w:highlight w:val="yellow"/>
        </w:rPr>
        <w:t>)</w:t>
      </w:r>
    </w:p>
    <w:p w14:paraId="4FDB3C27" w14:textId="77777777" w:rsidR="00854F3C" w:rsidRDefault="00854F3C" w:rsidP="00854F3C">
      <w:pPr>
        <w:pStyle w:val="NormalWeb"/>
        <w:jc w:val="both"/>
        <w:rPr>
          <w:b w:val="0"/>
          <w:bCs/>
          <w:i w:val="0"/>
          <w:iCs/>
          <w:color w:val="000000"/>
          <w:sz w:val="22"/>
          <w:szCs w:val="22"/>
        </w:rPr>
      </w:pPr>
    </w:p>
    <w:bookmarkEnd w:id="199"/>
    <w:p w14:paraId="289F7D56" w14:textId="77777777" w:rsidR="00854F3C" w:rsidRPr="0042347B" w:rsidRDefault="00854F3C" w:rsidP="00854F3C">
      <w:pPr>
        <w:pStyle w:val="NormalWeb"/>
        <w:jc w:val="both"/>
        <w:rPr>
          <w:color w:val="000000"/>
          <w:sz w:val="22"/>
          <w:szCs w:val="22"/>
        </w:rPr>
      </w:pPr>
      <w:r w:rsidRPr="00EF63CE">
        <w:rPr>
          <w:color w:val="000000"/>
          <w:sz w:val="22"/>
          <w:szCs w:val="22"/>
          <w:highlight w:val="cyan"/>
        </w:rPr>
        <w:t>Change to or within the Financial Reporting Entity</w:t>
      </w:r>
    </w:p>
    <w:p w14:paraId="09980591" w14:textId="77777777" w:rsidR="00854F3C" w:rsidRPr="0042347B" w:rsidRDefault="00854F3C" w:rsidP="00854F3C">
      <w:pPr>
        <w:pStyle w:val="NormalWeb"/>
        <w:jc w:val="both"/>
        <w:rPr>
          <w:b w:val="0"/>
          <w:bCs/>
          <w:i w:val="0"/>
          <w:iCs/>
          <w:color w:val="000000"/>
          <w:sz w:val="22"/>
          <w:szCs w:val="22"/>
        </w:rPr>
      </w:pPr>
    </w:p>
    <w:p w14:paraId="281A3D6E" w14:textId="77777777" w:rsidR="00854F3C" w:rsidRPr="0042347B" w:rsidRDefault="00854F3C" w:rsidP="00854F3C">
      <w:pPr>
        <w:jc w:val="both"/>
        <w:rPr>
          <w:sz w:val="22"/>
          <w:szCs w:val="22"/>
          <w:highlight w:val="yellow"/>
        </w:rPr>
      </w:pPr>
      <w:r w:rsidRPr="0042347B">
        <w:rPr>
          <w:sz w:val="22"/>
          <w:szCs w:val="22"/>
          <w:highlight w:val="yellow"/>
        </w:rPr>
        <w:lastRenderedPageBreak/>
        <w:t>If funds have changed between major and nonmajor:</w:t>
      </w:r>
    </w:p>
    <w:p w14:paraId="11B36FD1" w14:textId="77777777" w:rsidR="00854F3C" w:rsidRPr="0042347B" w:rsidRDefault="00854F3C" w:rsidP="00854F3C">
      <w:pPr>
        <w:jc w:val="both"/>
        <w:rPr>
          <w:sz w:val="22"/>
          <w:szCs w:val="22"/>
          <w:highlight w:val="yellow"/>
        </w:rPr>
      </w:pPr>
    </w:p>
    <w:p w14:paraId="2BD56A03" w14:textId="3318EB05" w:rsidR="00854F3C" w:rsidRPr="0042347B" w:rsidRDefault="00854F3C" w:rsidP="00854F3C">
      <w:pPr>
        <w:jc w:val="both"/>
        <w:rPr>
          <w:sz w:val="22"/>
          <w:szCs w:val="22"/>
          <w:highlight w:val="yellow"/>
        </w:rPr>
      </w:pPr>
      <w:r w:rsidRPr="0042347B">
        <w:rPr>
          <w:sz w:val="22"/>
          <w:szCs w:val="22"/>
          <w:highlight w:val="green"/>
        </w:rPr>
        <w:t>For 20</w:t>
      </w:r>
      <w:r>
        <w:rPr>
          <w:sz w:val="22"/>
          <w:szCs w:val="22"/>
          <w:highlight w:val="green"/>
        </w:rPr>
        <w:t>CY</w:t>
      </w:r>
      <w:r w:rsidRPr="0042347B">
        <w:rPr>
          <w:sz w:val="22"/>
          <w:szCs w:val="22"/>
          <w:highlight w:val="green"/>
        </w:rPr>
        <w:t xml:space="preserve">, the </w:t>
      </w:r>
      <w:r w:rsidR="003919E7">
        <w:rPr>
          <w:sz w:val="22"/>
          <w:szCs w:val="22"/>
          <w:highlight w:val="green"/>
        </w:rPr>
        <w:t>________________</w:t>
      </w:r>
      <w:r w:rsidRPr="0042347B">
        <w:rPr>
          <w:sz w:val="22"/>
          <w:szCs w:val="22"/>
          <w:highlight w:val="green"/>
        </w:rPr>
        <w:t xml:space="preserve"> special revenue fund presentation was </w:t>
      </w:r>
      <w:r>
        <w:rPr>
          <w:sz w:val="22"/>
          <w:szCs w:val="22"/>
          <w:highlight w:val="green"/>
        </w:rPr>
        <w:t>adjusted</w:t>
      </w:r>
      <w:r w:rsidRPr="0042347B">
        <w:rPr>
          <w:sz w:val="22"/>
          <w:szCs w:val="22"/>
          <w:highlight w:val="green"/>
        </w:rPr>
        <w:t xml:space="preserve"> from major to </w:t>
      </w:r>
      <w:r w:rsidRPr="001B56DA">
        <w:rPr>
          <w:sz w:val="22"/>
          <w:szCs w:val="22"/>
          <w:highlight w:val="green"/>
        </w:rPr>
        <w:t xml:space="preserve">nonmajor </w:t>
      </w:r>
      <w:r w:rsidRPr="001B56DA">
        <w:rPr>
          <w:rFonts w:ascii="TimesNewRomanPSMT" w:hAnsi="TimesNewRomanPSMT" w:cs="TimesNewRomanPSMT"/>
          <w:color w:val="000000"/>
          <w:sz w:val="22"/>
          <w:szCs w:val="22"/>
          <w:highlight w:val="green"/>
        </w:rPr>
        <w:t>due to no longer meeting the quantitative threshold for a major fund. This change is separately displayed in the financial statements.</w:t>
      </w:r>
      <w:r>
        <w:rPr>
          <w:rFonts w:ascii="TimesNewRomanPSMT" w:hAnsi="TimesNewRomanPSMT" w:cs="TimesNewRomanPSMT"/>
          <w:color w:val="000000"/>
          <w:sz w:val="22"/>
          <w:szCs w:val="22"/>
          <w:highlight w:val="green"/>
        </w:rPr>
        <w:t xml:space="preserve">  </w:t>
      </w:r>
      <w:r w:rsidRPr="001B56DA">
        <w:rPr>
          <w:rFonts w:ascii="TimesNewRomanPSMT" w:hAnsi="TimesNewRomanPSMT" w:cs="TimesNewRomanPSMT"/>
          <w:color w:val="000000"/>
          <w:sz w:val="22"/>
          <w:szCs w:val="22"/>
          <w:highlight w:val="green"/>
        </w:rPr>
        <w:t>(</w:t>
      </w:r>
      <w:r w:rsidRPr="00F3307D">
        <w:rPr>
          <w:rFonts w:ascii="TimesNewRomanPSMT" w:hAnsi="TimesNewRomanPSMT" w:cs="TimesNewRomanPSMT"/>
          <w:color w:val="000000"/>
          <w:sz w:val="22"/>
          <w:szCs w:val="22"/>
          <w:highlight w:val="yellow"/>
        </w:rPr>
        <w:t>delete last sentence if included on the chart in the notes)</w:t>
      </w:r>
      <w:r w:rsidRPr="00F3307D">
        <w:rPr>
          <w:rFonts w:ascii="TimesNewRomanPSMT" w:hAnsi="TimesNewRomanPSMT" w:cs="TimesNewRomanPSMT"/>
          <w:color w:val="000000"/>
          <w:sz w:val="22"/>
          <w:szCs w:val="22"/>
        </w:rPr>
        <w:t xml:space="preserve"> </w:t>
      </w:r>
      <w:bookmarkStart w:id="200" w:name="_Hlk175242045"/>
      <w:r w:rsidRPr="0042347B">
        <w:rPr>
          <w:sz w:val="22"/>
          <w:szCs w:val="22"/>
          <w:highlight w:val="yellow"/>
        </w:rPr>
        <w:t>(Edit as needed</w:t>
      </w:r>
      <w:r>
        <w:rPr>
          <w:sz w:val="22"/>
          <w:szCs w:val="22"/>
          <w:highlight w:val="yellow"/>
        </w:rPr>
        <w:t>.</w:t>
      </w:r>
      <w:r w:rsidRPr="00781BC3">
        <w:rPr>
          <w:b/>
          <w:i/>
          <w:color w:val="000000"/>
          <w:sz w:val="22"/>
          <w:szCs w:val="22"/>
          <w:highlight w:val="yellow"/>
        </w:rPr>
        <w:t xml:space="preserve"> </w:t>
      </w:r>
      <w:bookmarkStart w:id="201" w:name="_Hlk175241276"/>
      <w:r w:rsidRPr="00781BC3">
        <w:rPr>
          <w:bCs/>
          <w:iCs/>
          <w:color w:val="000000"/>
          <w:sz w:val="22"/>
          <w:szCs w:val="22"/>
          <w:highlight w:val="yellow"/>
        </w:rPr>
        <w:t xml:space="preserve">See GASB 100 for other types of Changes </w:t>
      </w:r>
      <w:r>
        <w:rPr>
          <w:bCs/>
          <w:iCs/>
          <w:color w:val="000000"/>
          <w:sz w:val="22"/>
          <w:szCs w:val="22"/>
          <w:highlight w:val="yellow"/>
        </w:rPr>
        <w:t>to or within the Financial Reporting Entity</w:t>
      </w:r>
      <w:r w:rsidRPr="00781BC3">
        <w:rPr>
          <w:bCs/>
          <w:iCs/>
          <w:color w:val="000000"/>
          <w:sz w:val="22"/>
          <w:szCs w:val="22"/>
          <w:highlight w:val="yellow"/>
        </w:rPr>
        <w:t>.</w:t>
      </w:r>
      <w:bookmarkEnd w:id="201"/>
      <w:r w:rsidRPr="00781BC3">
        <w:rPr>
          <w:bCs/>
          <w:iCs/>
          <w:sz w:val="22"/>
          <w:szCs w:val="22"/>
          <w:highlight w:val="yellow"/>
        </w:rPr>
        <w:t>)</w:t>
      </w:r>
    </w:p>
    <w:bookmarkEnd w:id="200"/>
    <w:p w14:paraId="3550BAB3" w14:textId="77777777" w:rsidR="00854F3C" w:rsidRDefault="00854F3C" w:rsidP="00854F3C">
      <w:pPr>
        <w:jc w:val="both"/>
        <w:rPr>
          <w:sz w:val="22"/>
          <w:szCs w:val="22"/>
          <w:highlight w:val="yellow"/>
        </w:rPr>
      </w:pPr>
    </w:p>
    <w:p w14:paraId="7517350C" w14:textId="77777777" w:rsidR="00854F3C" w:rsidRPr="00F56470" w:rsidRDefault="00854F3C" w:rsidP="00854F3C">
      <w:pPr>
        <w:jc w:val="both"/>
        <w:rPr>
          <w:b/>
          <w:bCs/>
          <w:i/>
          <w:iCs/>
          <w:sz w:val="22"/>
          <w:szCs w:val="22"/>
          <w:highlight w:val="cyan"/>
        </w:rPr>
      </w:pPr>
      <w:r w:rsidRPr="00F56470">
        <w:rPr>
          <w:b/>
          <w:bCs/>
          <w:i/>
          <w:iCs/>
          <w:sz w:val="22"/>
          <w:szCs w:val="22"/>
          <w:highlight w:val="cyan"/>
        </w:rPr>
        <w:t>Correction of an Error</w:t>
      </w:r>
    </w:p>
    <w:p w14:paraId="165B0D44" w14:textId="77777777" w:rsidR="00854F3C" w:rsidRDefault="00854F3C" w:rsidP="00854F3C">
      <w:pPr>
        <w:jc w:val="both"/>
        <w:rPr>
          <w:sz w:val="22"/>
          <w:szCs w:val="22"/>
          <w:highlight w:val="yellow"/>
        </w:rPr>
      </w:pPr>
    </w:p>
    <w:p w14:paraId="0C3D61D1" w14:textId="77777777" w:rsidR="00E7799E" w:rsidRPr="0042347B" w:rsidRDefault="00E7799E" w:rsidP="00E7799E">
      <w:pPr>
        <w:jc w:val="both"/>
        <w:rPr>
          <w:sz w:val="22"/>
          <w:szCs w:val="22"/>
          <w:highlight w:val="yellow"/>
        </w:rPr>
      </w:pPr>
      <w:bookmarkStart w:id="202" w:name="_Hlk174816030"/>
      <w:r w:rsidRPr="00AD48B6">
        <w:rPr>
          <w:sz w:val="22"/>
          <w:szCs w:val="22"/>
          <w:highlight w:val="green"/>
        </w:rPr>
        <w:t>During 20CY, it was determined that $</w:t>
      </w:r>
      <w:proofErr w:type="spellStart"/>
      <w:r w:rsidRPr="00AD48B6">
        <w:rPr>
          <w:sz w:val="22"/>
          <w:szCs w:val="22"/>
          <w:highlight w:val="green"/>
        </w:rPr>
        <w:t>xx,xxx</w:t>
      </w:r>
      <w:proofErr w:type="spellEnd"/>
      <w:r w:rsidRPr="00AD48B6">
        <w:rPr>
          <w:sz w:val="22"/>
          <w:szCs w:val="22"/>
          <w:highlight w:val="green"/>
        </w:rPr>
        <w:t xml:space="preserve"> in grant revenue was not recorded in the </w:t>
      </w:r>
      <w:r>
        <w:rPr>
          <w:sz w:val="22"/>
          <w:szCs w:val="22"/>
          <w:highlight w:val="green"/>
        </w:rPr>
        <w:t>XXX</w:t>
      </w:r>
      <w:r w:rsidRPr="00AD48B6">
        <w:rPr>
          <w:sz w:val="22"/>
          <w:szCs w:val="22"/>
          <w:highlight w:val="green"/>
        </w:rPr>
        <w:t xml:space="preserve"> fund </w:t>
      </w:r>
      <w:r w:rsidRPr="00245AC3">
        <w:rPr>
          <w:rFonts w:ascii="TimesNewRomanPSMT" w:hAnsi="TimesNewRomanPSMT"/>
          <w:sz w:val="22"/>
          <w:szCs w:val="22"/>
          <w:highlight w:val="yellow"/>
        </w:rPr>
        <w:t>(update as appropriat</w:t>
      </w:r>
      <w:r w:rsidRPr="0079336B">
        <w:rPr>
          <w:rFonts w:ascii="TimesNewRomanPSMT" w:hAnsi="TimesNewRomanPSMT"/>
          <w:sz w:val="22"/>
          <w:szCs w:val="22"/>
          <w:highlight w:val="yellow"/>
        </w:rPr>
        <w:t>e</w:t>
      </w:r>
      <w:r>
        <w:rPr>
          <w:rFonts w:ascii="TimesNewRomanPSMT" w:hAnsi="TimesNewRomanPSMT"/>
          <w:sz w:val="22"/>
          <w:szCs w:val="22"/>
          <w:highlight w:val="yellow"/>
        </w:rPr>
        <w:t xml:space="preserve"> including specific fund name and fund type</w:t>
      </w:r>
      <w:r w:rsidRPr="0079336B">
        <w:rPr>
          <w:rFonts w:ascii="TimesNewRomanPSMT" w:hAnsi="TimesNewRomanPSMT"/>
          <w:sz w:val="22"/>
          <w:szCs w:val="22"/>
          <w:highlight w:val="yellow"/>
        </w:rPr>
        <w:t>)</w:t>
      </w:r>
      <w:r w:rsidRPr="00336A93">
        <w:rPr>
          <w:rFonts w:ascii="TimesNewRomanPSMT" w:hAnsi="TimesNewRomanPSMT"/>
          <w:sz w:val="22"/>
          <w:szCs w:val="22"/>
          <w:highlight w:val="green"/>
        </w:rPr>
        <w:t xml:space="preserve"> </w:t>
      </w:r>
      <w:r w:rsidRPr="00AD48B6">
        <w:rPr>
          <w:sz w:val="22"/>
          <w:szCs w:val="22"/>
          <w:highlight w:val="green"/>
        </w:rPr>
        <w:t>for the 20PY.  This resulted in cash and cash equivalents, intergovernmental revenue, change in fund balance, and fund balance being understated by $</w:t>
      </w:r>
      <w:proofErr w:type="spellStart"/>
      <w:r w:rsidRPr="00AD48B6">
        <w:rPr>
          <w:sz w:val="22"/>
          <w:szCs w:val="22"/>
          <w:highlight w:val="green"/>
        </w:rPr>
        <w:t>xx,xxx</w:t>
      </w:r>
      <w:proofErr w:type="spellEnd"/>
      <w:r w:rsidRPr="00AD48B6">
        <w:rPr>
          <w:sz w:val="22"/>
          <w:szCs w:val="22"/>
          <w:highlight w:val="green"/>
        </w:rPr>
        <w:t xml:space="preserve"> for 20PY</w:t>
      </w:r>
      <w:r w:rsidRPr="001B56DA">
        <w:rPr>
          <w:sz w:val="22"/>
          <w:szCs w:val="22"/>
          <w:highlight w:val="green"/>
        </w:rPr>
        <w:t>.</w:t>
      </w:r>
      <w:r w:rsidRPr="001B56DA">
        <w:rPr>
          <w:color w:val="000000"/>
          <w:sz w:val="22"/>
          <w:szCs w:val="22"/>
          <w:highlight w:val="green"/>
        </w:rPr>
        <w:t xml:space="preserve"> The impact of this restatement is reflected on the table below</w:t>
      </w:r>
      <w:r w:rsidRPr="001B56DA">
        <w:rPr>
          <w:color w:val="000000"/>
          <w:sz w:val="22"/>
          <w:szCs w:val="22"/>
        </w:rPr>
        <w:t>.</w:t>
      </w:r>
      <w:r>
        <w:rPr>
          <w:color w:val="000000"/>
          <w:sz w:val="22"/>
          <w:szCs w:val="22"/>
        </w:rPr>
        <w:t xml:space="preserve"> </w:t>
      </w:r>
      <w:r w:rsidRPr="00AD48B6">
        <w:rPr>
          <w:sz w:val="22"/>
          <w:szCs w:val="22"/>
          <w:highlight w:val="green"/>
        </w:rPr>
        <w:t xml:space="preserve">  </w:t>
      </w:r>
      <w:r w:rsidRPr="0042347B">
        <w:rPr>
          <w:sz w:val="22"/>
          <w:szCs w:val="22"/>
          <w:highlight w:val="yellow"/>
        </w:rPr>
        <w:t>(Edit as needed</w:t>
      </w:r>
      <w:r>
        <w:rPr>
          <w:sz w:val="22"/>
          <w:szCs w:val="22"/>
          <w:highlight w:val="yellow"/>
        </w:rPr>
        <w:t xml:space="preserve"> to describe specific correction.</w:t>
      </w:r>
      <w:r w:rsidRPr="00781BC3">
        <w:rPr>
          <w:b/>
          <w:i/>
          <w:color w:val="000000"/>
          <w:sz w:val="22"/>
          <w:szCs w:val="22"/>
          <w:highlight w:val="yellow"/>
        </w:rPr>
        <w:t xml:space="preserve"> </w:t>
      </w:r>
      <w:r w:rsidRPr="00781BC3">
        <w:rPr>
          <w:bCs/>
          <w:iCs/>
          <w:color w:val="000000"/>
          <w:sz w:val="22"/>
          <w:szCs w:val="22"/>
          <w:highlight w:val="yellow"/>
        </w:rPr>
        <w:t xml:space="preserve">See GASB 100 for </w:t>
      </w:r>
      <w:r>
        <w:rPr>
          <w:bCs/>
          <w:iCs/>
          <w:color w:val="000000"/>
          <w:sz w:val="22"/>
          <w:szCs w:val="22"/>
          <w:highlight w:val="yellow"/>
        </w:rPr>
        <w:t>additional information of error corrections</w:t>
      </w:r>
      <w:r w:rsidRPr="00781BC3">
        <w:rPr>
          <w:bCs/>
          <w:iCs/>
          <w:color w:val="000000"/>
          <w:sz w:val="22"/>
          <w:szCs w:val="22"/>
          <w:highlight w:val="yellow"/>
        </w:rPr>
        <w:t>.</w:t>
      </w:r>
      <w:r w:rsidRPr="00781BC3">
        <w:rPr>
          <w:bCs/>
          <w:iCs/>
          <w:sz w:val="22"/>
          <w:szCs w:val="22"/>
          <w:highlight w:val="yellow"/>
        </w:rPr>
        <w:t>)</w:t>
      </w:r>
    </w:p>
    <w:p w14:paraId="29DE4074" w14:textId="77777777" w:rsidR="00E7799E" w:rsidRPr="00DC1679" w:rsidRDefault="00E7799E" w:rsidP="00E7799E">
      <w:pPr>
        <w:jc w:val="both"/>
        <w:rPr>
          <w:sz w:val="22"/>
          <w:szCs w:val="22"/>
          <w:highlight w:val="yellow"/>
        </w:rPr>
      </w:pPr>
    </w:p>
    <w:p w14:paraId="4E5B7E74" w14:textId="4DF894E1" w:rsidR="00E7799E" w:rsidRPr="00DC1679" w:rsidRDefault="00E7799E" w:rsidP="00E7799E">
      <w:pPr>
        <w:jc w:val="both"/>
        <w:rPr>
          <w:sz w:val="22"/>
          <w:szCs w:val="22"/>
        </w:rPr>
      </w:pPr>
      <w:r w:rsidRPr="00DC1679">
        <w:rPr>
          <w:sz w:val="22"/>
          <w:szCs w:val="22"/>
          <w:highlight w:val="yellow"/>
        </w:rPr>
        <w:t xml:space="preserve">(Table below can be updated accordingly.  Columns and rows should be hidden and unhidden to only include relative information to the entity. Additional columns may need added/relabeled to accommodate a change to OCBOA as well as additional disclosure.  This table reflects the impact of GASB Statement No. 100 </w:t>
      </w:r>
      <w:r w:rsidRPr="00DC1679">
        <w:rPr>
          <w:i/>
          <w:iCs/>
          <w:sz w:val="22"/>
          <w:szCs w:val="22"/>
          <w:highlight w:val="yellow"/>
        </w:rPr>
        <w:t>Accounting Changes and Error Corrections</w:t>
      </w:r>
      <w:r w:rsidRPr="00DC1679">
        <w:rPr>
          <w:sz w:val="22"/>
          <w:szCs w:val="22"/>
          <w:highlight w:val="yellow"/>
        </w:rPr>
        <w:t>. See GASB 100 paragraph 32 for additional information related to the table.</w:t>
      </w:r>
      <w:r w:rsidRPr="00DC1679">
        <w:rPr>
          <w:color w:val="02122B"/>
          <w:spacing w:val="3"/>
          <w:sz w:val="22"/>
          <w:szCs w:val="22"/>
          <w:highlight w:val="yellow"/>
          <w:shd w:val="clear" w:color="auto" w:fill="FFFFFF"/>
        </w:rPr>
        <w:t xml:space="preserve"> If the </w:t>
      </w:r>
      <w:r>
        <w:rPr>
          <w:color w:val="02122B"/>
          <w:spacing w:val="3"/>
          <w:sz w:val="22"/>
          <w:szCs w:val="22"/>
          <w:highlight w:val="yellow"/>
          <w:shd w:val="clear" w:color="auto" w:fill="FFFFFF"/>
        </w:rPr>
        <w:t>Library</w:t>
      </w:r>
      <w:r w:rsidRPr="00DC1679">
        <w:rPr>
          <w:color w:val="02122B"/>
          <w:spacing w:val="3"/>
          <w:sz w:val="22"/>
          <w:szCs w:val="22"/>
          <w:highlight w:val="yellow"/>
          <w:shd w:val="clear" w:color="auto" w:fill="FFFFFF"/>
        </w:rPr>
        <w:t xml:space="preserve"> has separately displayed in the financial statements the effects of </w:t>
      </w:r>
      <w:r w:rsidRPr="00DC1679">
        <w:rPr>
          <w:rStyle w:val="Emphasis"/>
          <w:color w:val="02122B"/>
          <w:spacing w:val="3"/>
          <w:sz w:val="22"/>
          <w:szCs w:val="22"/>
          <w:highlight w:val="yellow"/>
          <w:shd w:val="clear" w:color="auto" w:fill="FFFFFF"/>
        </w:rPr>
        <w:t>each</w:t>
      </w:r>
      <w:r w:rsidRPr="00DC1679">
        <w:rPr>
          <w:color w:val="02122B"/>
          <w:spacing w:val="3"/>
          <w:sz w:val="22"/>
          <w:szCs w:val="22"/>
          <w:highlight w:val="yellow"/>
          <w:shd w:val="clear" w:color="auto" w:fill="FFFFFF"/>
        </w:rPr>
        <w:t> accounting change or error correction by reporting unit, those effects need not be repeated in notes to financial statements.</w:t>
      </w:r>
      <w:r w:rsidRPr="00DC1679">
        <w:rPr>
          <w:sz w:val="22"/>
          <w:szCs w:val="22"/>
          <w:highlight w:val="yellow"/>
        </w:rPr>
        <w:t xml:space="preserve">   Further information on GASB 100 can be found in the </w:t>
      </w:r>
      <w:hyperlink r:id="rId51" w:history="1">
        <w:r w:rsidRPr="00DC1679">
          <w:rPr>
            <w:color w:val="0000FF"/>
            <w:sz w:val="22"/>
            <w:szCs w:val="22"/>
            <w:highlight w:val="yellow"/>
            <w:u w:val="single"/>
          </w:rPr>
          <w:t>GASB 100 FAQs</w:t>
        </w:r>
      </w:hyperlink>
      <w:r w:rsidRPr="00DC1679">
        <w:rPr>
          <w:sz w:val="22"/>
          <w:szCs w:val="22"/>
          <w:highlight w:val="yellow"/>
        </w:rPr>
        <w:t>)</w:t>
      </w:r>
      <w:r w:rsidRPr="00DC1679">
        <w:rPr>
          <w:sz w:val="22"/>
          <w:szCs w:val="22"/>
        </w:rPr>
        <w:t xml:space="preserve">   </w:t>
      </w:r>
    </w:p>
    <w:p w14:paraId="270EF997" w14:textId="77777777" w:rsidR="00E7799E" w:rsidRPr="00DC1679" w:rsidRDefault="00E7799E" w:rsidP="00E7799E">
      <w:pPr>
        <w:jc w:val="both"/>
        <w:rPr>
          <w:color w:val="000000"/>
          <w:sz w:val="22"/>
          <w:szCs w:val="22"/>
          <w:highlight w:val="yellow"/>
        </w:rPr>
      </w:pPr>
    </w:p>
    <w:p w14:paraId="1A850F10" w14:textId="0489DA58" w:rsidR="00854F3C" w:rsidRPr="00DC1679" w:rsidRDefault="00E7799E" w:rsidP="00E7799E">
      <w:pPr>
        <w:jc w:val="both"/>
        <w:rPr>
          <w:color w:val="000000"/>
          <w:sz w:val="22"/>
          <w:szCs w:val="22"/>
        </w:rPr>
      </w:pPr>
      <w:r w:rsidRPr="00DC1679">
        <w:rPr>
          <w:color w:val="000000"/>
          <w:sz w:val="22"/>
          <w:szCs w:val="22"/>
          <w:highlight w:val="yellow"/>
        </w:rPr>
        <w:t xml:space="preserve">See also </w:t>
      </w:r>
      <w:bookmarkStart w:id="203" w:name="_Hlk175242167"/>
      <w:r w:rsidRPr="00DC1679">
        <w:rPr>
          <w:color w:val="000000"/>
          <w:sz w:val="22"/>
          <w:szCs w:val="22"/>
          <w:highlight w:val="yellow"/>
        </w:rPr>
        <w:t xml:space="preserve">“New Accounting Pronouncements” in the Summary of Significant Accounting Policies </w:t>
      </w:r>
      <w:bookmarkEnd w:id="203"/>
      <w:r w:rsidRPr="00DC1679">
        <w:rPr>
          <w:color w:val="000000"/>
          <w:sz w:val="22"/>
          <w:szCs w:val="22"/>
          <w:highlight w:val="yellow"/>
        </w:rPr>
        <w:t>for optional presentation if there are no accounting changes or error corrections for 2024.  If note 22 is included, the “New Accounting Pronouncements” in the Summary of Significant Accounting Policies should not be included.</w:t>
      </w:r>
      <w:r w:rsidR="00854F3C" w:rsidRPr="00DC1679">
        <w:rPr>
          <w:color w:val="000000"/>
          <w:sz w:val="22"/>
          <w:szCs w:val="22"/>
        </w:rPr>
        <w:t xml:space="preserve">  </w:t>
      </w:r>
    </w:p>
    <w:p w14:paraId="7D9F9D98" w14:textId="77777777" w:rsidR="00854F3C" w:rsidRDefault="00854F3C" w:rsidP="00854F3C">
      <w:pPr>
        <w:jc w:val="both"/>
        <w:rPr>
          <w:sz w:val="22"/>
          <w:szCs w:val="22"/>
        </w:rPr>
      </w:pPr>
    </w:p>
    <w:p w14:paraId="6F6DC6AE" w14:textId="77777777" w:rsidR="00854F3C" w:rsidRDefault="00854F3C" w:rsidP="00854F3C">
      <w:pPr>
        <w:jc w:val="both"/>
      </w:pPr>
    </w:p>
    <w:bookmarkStart w:id="204" w:name="_Hlk174989622"/>
    <w:bookmarkEnd w:id="202"/>
    <w:bookmarkStart w:id="205" w:name="_MON_1784438529"/>
    <w:bookmarkEnd w:id="205"/>
    <w:p w14:paraId="2799502C" w14:textId="49F5CBBE" w:rsidR="00ED3B48" w:rsidRDefault="00AD2932" w:rsidP="00854F3C">
      <w:pPr>
        <w:widowControl/>
        <w:jc w:val="center"/>
        <w:rPr>
          <w:b/>
          <w:sz w:val="24"/>
          <w:szCs w:val="24"/>
        </w:rPr>
      </w:pPr>
      <w:r w:rsidRPr="00F15413">
        <w:rPr>
          <w:highlight w:val="green"/>
        </w:rPr>
        <w:object w:dxaOrig="11891" w:dyaOrig="13005" w14:anchorId="0A4F66D5">
          <v:shape id="_x0000_i1042" type="#_x0000_t75" style="width:475.2pt;height:519pt" o:ole="">
            <v:imagedata r:id="rId52" o:title=""/>
          </v:shape>
          <o:OLEObject Type="Embed" ProgID="Excel.Sheet.12" ShapeID="_x0000_i1042" DrawAspect="Content" ObjectID="_1798480944" r:id="rId53"/>
        </w:object>
      </w:r>
      <w:bookmarkEnd w:id="204"/>
    </w:p>
    <w:p w14:paraId="3FA5765C" w14:textId="77777777" w:rsidR="00ED3B48" w:rsidRDefault="00ED3B48" w:rsidP="00533678">
      <w:pPr>
        <w:widowControl/>
        <w:jc w:val="both"/>
        <w:rPr>
          <w:b/>
          <w:sz w:val="22"/>
          <w:szCs w:val="24"/>
        </w:rPr>
      </w:pPr>
    </w:p>
    <w:p w14:paraId="49BA811C" w14:textId="77777777" w:rsidR="002E52EE" w:rsidRPr="002E52EE" w:rsidRDefault="002E52EE" w:rsidP="00533678">
      <w:pPr>
        <w:widowControl/>
        <w:jc w:val="both"/>
        <w:rPr>
          <w:b/>
          <w:sz w:val="22"/>
          <w:szCs w:val="24"/>
        </w:rPr>
      </w:pPr>
    </w:p>
    <w:p w14:paraId="12F7F946" w14:textId="77777777" w:rsidR="00215A53" w:rsidRPr="005374C3" w:rsidRDefault="00215A53" w:rsidP="00533678">
      <w:pPr>
        <w:widowControl/>
        <w:jc w:val="both"/>
        <w:rPr>
          <w:b/>
          <w:sz w:val="24"/>
          <w:szCs w:val="24"/>
        </w:rPr>
      </w:pPr>
      <w:r w:rsidRPr="005374C3">
        <w:rPr>
          <w:b/>
          <w:sz w:val="24"/>
          <w:szCs w:val="24"/>
        </w:rPr>
        <w:t xml:space="preserve">Note </w:t>
      </w:r>
      <w:r w:rsidR="0004241E">
        <w:rPr>
          <w:b/>
          <w:sz w:val="24"/>
          <w:szCs w:val="24"/>
        </w:rPr>
        <w:t>22</w:t>
      </w:r>
      <w:r w:rsidRPr="005374C3">
        <w:rPr>
          <w:b/>
          <w:sz w:val="24"/>
          <w:szCs w:val="24"/>
        </w:rPr>
        <w:t xml:space="preserve"> – Capital Assets</w:t>
      </w:r>
    </w:p>
    <w:p w14:paraId="4E22ADB3" w14:textId="77777777" w:rsidR="00215A53" w:rsidRPr="005374C3" w:rsidRDefault="00215A53" w:rsidP="00533678">
      <w:pPr>
        <w:widowControl/>
        <w:jc w:val="both"/>
        <w:rPr>
          <w:b/>
          <w:sz w:val="22"/>
          <w:szCs w:val="22"/>
          <w:u w:val="single"/>
        </w:rPr>
      </w:pPr>
    </w:p>
    <w:p w14:paraId="236E7981" w14:textId="77777777" w:rsidR="00215A53" w:rsidRPr="0004241E" w:rsidRDefault="00215A53" w:rsidP="00533678">
      <w:pPr>
        <w:widowControl/>
        <w:jc w:val="both"/>
        <w:rPr>
          <w:sz w:val="22"/>
          <w:szCs w:val="22"/>
        </w:rPr>
      </w:pPr>
      <w:r w:rsidRPr="0004241E">
        <w:rPr>
          <w:sz w:val="22"/>
          <w:szCs w:val="22"/>
          <w:highlight w:val="yellow"/>
        </w:rPr>
        <w:t>(Even if the Library chooses not to report and depreciate capital assets resulting from cash transactions in the financial statements, the Auditor of State’s Office encourages reporting capital asset activity in the notes to the financial statements to demonstrate compliance with OAC 117-2-02.)</w:t>
      </w:r>
    </w:p>
    <w:p w14:paraId="60381CA8" w14:textId="77777777" w:rsidR="00215A53" w:rsidRPr="0004241E" w:rsidRDefault="00215A53" w:rsidP="00533678">
      <w:pPr>
        <w:widowControl/>
        <w:jc w:val="both"/>
        <w:rPr>
          <w:sz w:val="22"/>
          <w:szCs w:val="22"/>
        </w:rPr>
      </w:pPr>
    </w:p>
    <w:p w14:paraId="63B04E38" w14:textId="77777777" w:rsidR="00215A53" w:rsidRDefault="00215A53" w:rsidP="00533678">
      <w:pPr>
        <w:widowControl/>
        <w:jc w:val="both"/>
        <w:rPr>
          <w:sz w:val="22"/>
          <w:szCs w:val="22"/>
        </w:rPr>
      </w:pPr>
      <w:r w:rsidRPr="005374C3">
        <w:rPr>
          <w:sz w:val="22"/>
          <w:szCs w:val="22"/>
        </w:rPr>
        <w:lastRenderedPageBreak/>
        <w:t>Capital asset activity for the year ended December 31, 20</w:t>
      </w:r>
      <w:r w:rsidRPr="003407B0">
        <w:rPr>
          <w:sz w:val="22"/>
          <w:szCs w:val="22"/>
          <w:highlight w:val="green"/>
        </w:rPr>
        <w:t>CY</w:t>
      </w:r>
      <w:r w:rsidRPr="005374C3">
        <w:rPr>
          <w:sz w:val="22"/>
          <w:szCs w:val="22"/>
        </w:rPr>
        <w:t>, was as follows:</w:t>
      </w:r>
    </w:p>
    <w:p w14:paraId="7DB5977A" w14:textId="77777777" w:rsidR="00215A53" w:rsidRPr="00617537" w:rsidRDefault="00215A53" w:rsidP="00533678">
      <w:pPr>
        <w:widowControl/>
        <w:jc w:val="both"/>
        <w:rPr>
          <w:sz w:val="22"/>
          <w:szCs w:val="22"/>
        </w:rPr>
      </w:pPr>
    </w:p>
    <w:bookmarkStart w:id="206" w:name="_MON_1347787645"/>
    <w:bookmarkStart w:id="207" w:name="_MON_1347787679"/>
    <w:bookmarkStart w:id="208" w:name="_MON_1347787693"/>
    <w:bookmarkStart w:id="209" w:name="_MON_1347787700"/>
    <w:bookmarkStart w:id="210" w:name="_MON_1347787772"/>
    <w:bookmarkStart w:id="211" w:name="_MON_1347787791"/>
    <w:bookmarkStart w:id="212" w:name="_MON_1347787943"/>
    <w:bookmarkStart w:id="213" w:name="_MON_1347788128"/>
    <w:bookmarkStart w:id="214" w:name="_MON_1347788906"/>
    <w:bookmarkStart w:id="215" w:name="_MON_1347788928"/>
    <w:bookmarkStart w:id="216" w:name="_MON_1347789172"/>
    <w:bookmarkStart w:id="217" w:name="_MON_1347789182"/>
    <w:bookmarkStart w:id="218" w:name="_MON_1347789238"/>
    <w:bookmarkStart w:id="219" w:name="_MON_1347789293"/>
    <w:bookmarkStart w:id="220" w:name="_MON_1347789337"/>
    <w:bookmarkStart w:id="221" w:name="_MON_1350734894"/>
    <w:bookmarkStart w:id="222" w:name="_MON_1352708099"/>
    <w:bookmarkStart w:id="223" w:name="_MON_1352708515"/>
    <w:bookmarkStart w:id="224" w:name="_MON_1352708547"/>
    <w:bookmarkStart w:id="225" w:name="_MON_1352708683"/>
    <w:bookmarkStart w:id="226" w:name="_MON_1356856943"/>
    <w:bookmarkStart w:id="227" w:name="_MON_1369476435"/>
    <w:bookmarkStart w:id="228" w:name="_MON_1369476711"/>
    <w:bookmarkStart w:id="229" w:name="_MON_1381233615"/>
    <w:bookmarkStart w:id="230" w:name="_MON_1381233627"/>
    <w:bookmarkStart w:id="231" w:name="_MON_1387625351"/>
    <w:bookmarkStart w:id="232" w:name="_MON_1304252026"/>
    <w:bookmarkStart w:id="233" w:name="_MON_1306570255"/>
    <w:bookmarkStart w:id="234" w:name="_MON_1306570310"/>
    <w:bookmarkStart w:id="235" w:name="_MON_1306570933"/>
    <w:bookmarkStart w:id="236" w:name="_MON_1331444134"/>
    <w:bookmarkStart w:id="237" w:name="_MON_1331448263"/>
    <w:bookmarkStart w:id="238" w:name="_MON_1331448449"/>
    <w:bookmarkStart w:id="239" w:name="_MON_1331448459"/>
    <w:bookmarkStart w:id="240" w:name="_MON_1333780465"/>
    <w:bookmarkStart w:id="241" w:name="_MON_1333991298"/>
    <w:bookmarkStart w:id="242" w:name="_MON_1347786513"/>
    <w:bookmarkStart w:id="243" w:name="_MON_1347786651"/>
    <w:bookmarkStart w:id="244" w:name="_MON_1347786837"/>
    <w:bookmarkStart w:id="245" w:name="_MON_1347786923"/>
    <w:bookmarkStart w:id="246" w:name="_MON_1347787132"/>
    <w:bookmarkStart w:id="247" w:name="_MON_1347787302"/>
    <w:bookmarkStart w:id="248" w:name="_MON_1347787421"/>
    <w:bookmarkStart w:id="249" w:name="_MON_1347787572"/>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Start w:id="250" w:name="_MON_1347787619"/>
    <w:bookmarkEnd w:id="250"/>
    <w:p w14:paraId="3A811B0E" w14:textId="72A59B2D" w:rsidR="00215A53" w:rsidRPr="0004241E" w:rsidRDefault="00AD2932" w:rsidP="00533678">
      <w:pPr>
        <w:widowControl/>
        <w:tabs>
          <w:tab w:val="left" w:pos="-1296"/>
          <w:tab w:val="left" w:pos="-846"/>
          <w:tab w:val="left" w:pos="-576"/>
          <w:tab w:val="left" w:pos="744"/>
          <w:tab w:val="right" w:pos="4644"/>
          <w:tab w:val="right" w:pos="6084"/>
          <w:tab w:val="right" w:pos="7704"/>
          <w:tab w:val="right" w:pos="905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jc w:val="center"/>
        <w:rPr>
          <w:sz w:val="16"/>
          <w:szCs w:val="16"/>
          <w:highlight w:val="green"/>
          <w:lang w:eastAsia="ja-JP"/>
        </w:rPr>
      </w:pPr>
      <w:r w:rsidRPr="0004241E">
        <w:rPr>
          <w:sz w:val="22"/>
          <w:szCs w:val="22"/>
          <w:highlight w:val="green"/>
          <w:lang w:eastAsia="ja-JP"/>
        </w:rPr>
        <w:object w:dxaOrig="9684" w:dyaOrig="7136" w14:anchorId="2646DD46">
          <v:shape id="_x0000_i1043" type="#_x0000_t75" style="width:460.8pt;height:355.2pt" o:ole="">
            <v:imagedata r:id="rId54" o:title=""/>
            <o:lock v:ext="edit" aspectratio="f"/>
          </v:shape>
          <o:OLEObject Type="Embed" ProgID="Excel.Sheet.12" ShapeID="_x0000_i1043" DrawAspect="Content" ObjectID="_1798480945" r:id="rId55"/>
        </w:object>
      </w:r>
    </w:p>
    <w:p w14:paraId="05F7CC1E" w14:textId="77777777" w:rsidR="00215A53" w:rsidRDefault="00215A53" w:rsidP="00533678">
      <w:pPr>
        <w:widowControl/>
        <w:tabs>
          <w:tab w:val="left" w:pos="-1296"/>
          <w:tab w:val="left" w:pos="-846"/>
          <w:tab w:val="left" w:pos="-576"/>
          <w:tab w:val="left" w:pos="744"/>
          <w:tab w:val="right" w:pos="4644"/>
          <w:tab w:val="right" w:pos="6084"/>
          <w:tab w:val="right" w:pos="7704"/>
          <w:tab w:val="right" w:pos="905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rPr>
          <w:sz w:val="22"/>
          <w:lang w:eastAsia="ja-JP"/>
        </w:rPr>
      </w:pPr>
      <w:r w:rsidRPr="0004241E">
        <w:rPr>
          <w:sz w:val="22"/>
          <w:lang w:eastAsia="ja-JP"/>
        </w:rPr>
        <w:t>* Depreciation expense was charged to the governmental activities as follows:</w:t>
      </w:r>
    </w:p>
    <w:p w14:paraId="0E5E612F" w14:textId="77777777" w:rsidR="00215A53" w:rsidRDefault="00215A53" w:rsidP="00533678">
      <w:pPr>
        <w:widowControl/>
        <w:tabs>
          <w:tab w:val="left" w:pos="-1296"/>
          <w:tab w:val="left" w:pos="-846"/>
          <w:tab w:val="left" w:pos="-576"/>
          <w:tab w:val="left" w:pos="744"/>
          <w:tab w:val="right" w:pos="4644"/>
          <w:tab w:val="right" w:pos="6084"/>
          <w:tab w:val="right" w:pos="7704"/>
          <w:tab w:val="right" w:pos="905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rPr>
          <w:sz w:val="22"/>
          <w:lang w:eastAsia="ja-JP"/>
        </w:rPr>
      </w:pPr>
      <w:bookmarkStart w:id="251" w:name="OLE_LINK3"/>
      <w:bookmarkStart w:id="252" w:name="OLE_LINK4"/>
    </w:p>
    <w:bookmarkStart w:id="253" w:name="_MON_1347788023"/>
    <w:bookmarkStart w:id="254" w:name="_MON_1347788034"/>
    <w:bookmarkStart w:id="255" w:name="_MON_1347788061"/>
    <w:bookmarkStart w:id="256" w:name="_MON_1352708300"/>
    <w:bookmarkStart w:id="257" w:name="_MON_1352708315"/>
    <w:bookmarkStart w:id="258" w:name="_MON_1352708452"/>
    <w:bookmarkStart w:id="259" w:name="_MON_1369476865"/>
    <w:bookmarkStart w:id="260" w:name="_MON_1387625364"/>
    <w:bookmarkEnd w:id="253"/>
    <w:bookmarkEnd w:id="254"/>
    <w:bookmarkEnd w:id="255"/>
    <w:bookmarkEnd w:id="256"/>
    <w:bookmarkEnd w:id="257"/>
    <w:bookmarkEnd w:id="258"/>
    <w:bookmarkEnd w:id="259"/>
    <w:bookmarkEnd w:id="260"/>
    <w:bookmarkStart w:id="261" w:name="_MON_1333780489"/>
    <w:bookmarkEnd w:id="261"/>
    <w:p w14:paraId="55C30A16" w14:textId="60B5BEB8" w:rsidR="00215A53" w:rsidRDefault="00AD2932" w:rsidP="00533678">
      <w:pPr>
        <w:widowControl/>
        <w:tabs>
          <w:tab w:val="left" w:pos="-1296"/>
          <w:tab w:val="left" w:pos="-846"/>
          <w:tab w:val="left" w:pos="-576"/>
          <w:tab w:val="left" w:pos="744"/>
          <w:tab w:val="right" w:pos="4644"/>
          <w:tab w:val="right" w:pos="6084"/>
          <w:tab w:val="right" w:pos="7704"/>
          <w:tab w:val="right" w:pos="905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jc w:val="center"/>
        <w:rPr>
          <w:sz w:val="22"/>
          <w:lang w:eastAsia="ja-JP"/>
        </w:rPr>
      </w:pPr>
      <w:r w:rsidRPr="0004241E">
        <w:rPr>
          <w:sz w:val="22"/>
          <w:highlight w:val="green"/>
          <w:lang w:eastAsia="ja-JP"/>
        </w:rPr>
        <w:object w:dxaOrig="5964" w:dyaOrig="2307" w14:anchorId="07A38287">
          <v:shape id="_x0000_i1044" type="#_x0000_t75" style="width:283.8pt;height:118.2pt" o:ole="">
            <v:imagedata r:id="rId56" o:title=""/>
            <o:lock v:ext="edit" aspectratio="f"/>
          </v:shape>
          <o:OLEObject Type="Embed" ProgID="Excel.Sheet.12" ShapeID="_x0000_i1044" DrawAspect="Content" ObjectID="_1798480946" r:id="rId57"/>
        </w:object>
      </w:r>
    </w:p>
    <w:bookmarkEnd w:id="251"/>
    <w:bookmarkEnd w:id="252"/>
    <w:p w14:paraId="3666C8CE" w14:textId="77777777" w:rsidR="003407B0" w:rsidRDefault="003407B0" w:rsidP="00533678">
      <w:pPr>
        <w:widowControl/>
        <w:jc w:val="both"/>
        <w:rPr>
          <w:sz w:val="22"/>
          <w:szCs w:val="22"/>
        </w:rPr>
      </w:pPr>
    </w:p>
    <w:p w14:paraId="2032665F" w14:textId="77777777" w:rsidR="00215A53" w:rsidRDefault="00215A53" w:rsidP="00533678">
      <w:pPr>
        <w:widowControl/>
        <w:jc w:val="both"/>
        <w:rPr>
          <w:sz w:val="22"/>
          <w:szCs w:val="22"/>
        </w:rPr>
      </w:pPr>
      <w:r w:rsidRPr="003407B0">
        <w:rPr>
          <w:i/>
          <w:sz w:val="22"/>
          <w:szCs w:val="22"/>
          <w:highlight w:val="yellow"/>
        </w:rPr>
        <w:t>(Delete if no Business-Type Activities)</w:t>
      </w:r>
      <w:r w:rsidRPr="005374C3">
        <w:rPr>
          <w:i/>
          <w:sz w:val="22"/>
          <w:szCs w:val="22"/>
        </w:rPr>
        <w:tab/>
      </w:r>
    </w:p>
    <w:p w14:paraId="488E14B1" w14:textId="77777777" w:rsidR="00215A53" w:rsidRDefault="00215A53" w:rsidP="00533678">
      <w:pPr>
        <w:widowControl/>
        <w:jc w:val="center"/>
        <w:rPr>
          <w:sz w:val="22"/>
          <w:szCs w:val="22"/>
        </w:rPr>
      </w:pPr>
    </w:p>
    <w:bookmarkStart w:id="262" w:name="_MON_1331448528"/>
    <w:bookmarkStart w:id="263" w:name="_MON_1333780499"/>
    <w:bookmarkStart w:id="264" w:name="_MON_1347788248"/>
    <w:bookmarkStart w:id="265" w:name="_MON_1347788391"/>
    <w:bookmarkStart w:id="266" w:name="_MON_1347788849"/>
    <w:bookmarkStart w:id="267" w:name="_MON_1347789476"/>
    <w:bookmarkStart w:id="268" w:name="_MON_1350734915"/>
    <w:bookmarkStart w:id="269" w:name="_MON_1352708699"/>
    <w:bookmarkStart w:id="270" w:name="_MON_1356856968"/>
    <w:bookmarkStart w:id="271" w:name="_MON_1369476882"/>
    <w:bookmarkStart w:id="272" w:name="_MON_1381233658"/>
    <w:bookmarkStart w:id="273" w:name="_MON_1381233672"/>
    <w:bookmarkStart w:id="274" w:name="_MON_1387625381"/>
    <w:bookmarkStart w:id="275" w:name="_MON_1304252093"/>
    <w:bookmarkStart w:id="276" w:name="_MON_1305563565"/>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Start w:id="277" w:name="_MON_1331444161"/>
    <w:bookmarkEnd w:id="277"/>
    <w:p w14:paraId="0DBC9D66" w14:textId="5A962FBA" w:rsidR="0004241E" w:rsidRPr="000036C7" w:rsidRDefault="00AD2932" w:rsidP="00533678">
      <w:pPr>
        <w:widowControl/>
        <w:jc w:val="center"/>
        <w:rPr>
          <w:sz w:val="22"/>
          <w:szCs w:val="22"/>
          <w:lang w:eastAsia="ja-JP"/>
        </w:rPr>
      </w:pPr>
      <w:r w:rsidRPr="0004241E">
        <w:rPr>
          <w:sz w:val="22"/>
          <w:szCs w:val="22"/>
          <w:highlight w:val="green"/>
          <w:lang w:eastAsia="ja-JP"/>
        </w:rPr>
        <w:object w:dxaOrig="9890" w:dyaOrig="7616" w14:anchorId="26D31C15">
          <v:shape id="_x0000_i1045" type="#_x0000_t75" style="width:471pt;height:393pt" o:ole="">
            <v:imagedata r:id="rId58" o:title=""/>
            <o:lock v:ext="edit" aspectratio="f"/>
          </v:shape>
          <o:OLEObject Type="Embed" ProgID="Excel.Sheet.12" ShapeID="_x0000_i1045" DrawAspect="Content" ObjectID="_1798480947" r:id="rId59"/>
        </w:object>
      </w:r>
    </w:p>
    <w:p w14:paraId="17EF1664" w14:textId="77777777" w:rsidR="0004241E" w:rsidRDefault="0004241E" w:rsidP="00533678">
      <w:pPr>
        <w:widowControl/>
        <w:rPr>
          <w:b/>
          <w:bCs/>
          <w:sz w:val="22"/>
          <w:szCs w:val="22"/>
        </w:rPr>
      </w:pPr>
    </w:p>
    <w:p w14:paraId="02162E69" w14:textId="77777777" w:rsidR="007700E5" w:rsidRPr="00522033" w:rsidRDefault="007700E5" w:rsidP="007700E5">
      <w:pPr>
        <w:jc w:val="both"/>
        <w:rPr>
          <w:bCs/>
          <w:sz w:val="22"/>
          <w:szCs w:val="22"/>
        </w:rPr>
      </w:pPr>
      <w:r w:rsidRPr="00522033">
        <w:rPr>
          <w:bCs/>
          <w:sz w:val="22"/>
          <w:szCs w:val="22"/>
          <w:highlight w:val="yellow"/>
        </w:rPr>
        <w:t xml:space="preserve">If </w:t>
      </w:r>
      <w:r>
        <w:rPr>
          <w:bCs/>
          <w:sz w:val="22"/>
          <w:szCs w:val="22"/>
          <w:highlight w:val="yellow"/>
        </w:rPr>
        <w:t xml:space="preserve">GASB 87 </w:t>
      </w:r>
      <w:r w:rsidRPr="00522033">
        <w:rPr>
          <w:bCs/>
          <w:sz w:val="22"/>
          <w:szCs w:val="22"/>
          <w:highlight w:val="yellow"/>
        </w:rPr>
        <w:t>lease transactio</w:t>
      </w:r>
      <w:r w:rsidRPr="00C84B7C">
        <w:rPr>
          <w:bCs/>
          <w:sz w:val="22"/>
          <w:szCs w:val="22"/>
          <w:highlight w:val="yellow"/>
        </w:rPr>
        <w:t>ns, GASB 96 SBITA transactions, or GASB 94 PPP and APA transactions are the result of a cash transactio</w:t>
      </w:r>
      <w:r w:rsidRPr="00522033">
        <w:rPr>
          <w:bCs/>
          <w:sz w:val="22"/>
          <w:szCs w:val="22"/>
          <w:highlight w:val="yellow"/>
        </w:rPr>
        <w:t xml:space="preserve">n and the financial statements reflect this modification, the above tables should include the intangible right to use asset by asset type under both the depreciable capital assets and accumulated depreciation.  An explanation should also be included related to the accounting </w:t>
      </w:r>
      <w:r>
        <w:rPr>
          <w:bCs/>
          <w:sz w:val="22"/>
          <w:szCs w:val="22"/>
          <w:highlight w:val="yellow"/>
        </w:rPr>
        <w:t xml:space="preserve">treatment </w:t>
      </w:r>
      <w:r w:rsidRPr="00522033">
        <w:rPr>
          <w:bCs/>
          <w:sz w:val="22"/>
          <w:szCs w:val="22"/>
          <w:highlight w:val="yellow"/>
        </w:rPr>
        <w:t xml:space="preserve">and corresponding amortization.  </w:t>
      </w:r>
      <w:r>
        <w:rPr>
          <w:bCs/>
          <w:sz w:val="22"/>
          <w:szCs w:val="22"/>
          <w:highlight w:val="yellow"/>
        </w:rPr>
        <w:t>Also, c</w:t>
      </w:r>
      <w:r w:rsidRPr="00522033">
        <w:rPr>
          <w:bCs/>
          <w:sz w:val="22"/>
          <w:szCs w:val="22"/>
          <w:highlight w:val="yellow"/>
        </w:rPr>
        <w:t>onsider updating the capital asset note in the summary of significant accounting policies and updating the debt note for the corresponding liability.</w:t>
      </w:r>
    </w:p>
    <w:p w14:paraId="27FF295E" w14:textId="77777777" w:rsidR="007700E5" w:rsidRPr="00522033" w:rsidRDefault="007700E5" w:rsidP="007700E5">
      <w:pPr>
        <w:jc w:val="both"/>
        <w:rPr>
          <w:bCs/>
          <w:sz w:val="22"/>
          <w:szCs w:val="22"/>
        </w:rPr>
      </w:pPr>
    </w:p>
    <w:p w14:paraId="6B5ED098" w14:textId="02E2CFF9" w:rsidR="00ED5385" w:rsidRPr="008741A5" w:rsidRDefault="007700E5" w:rsidP="007700E5">
      <w:pPr>
        <w:jc w:val="both"/>
        <w:rPr>
          <w:bCs/>
          <w:sz w:val="22"/>
          <w:szCs w:val="22"/>
        </w:rPr>
      </w:pPr>
      <w:r w:rsidRPr="00C84B7C">
        <w:rPr>
          <w:bCs/>
          <w:sz w:val="22"/>
          <w:szCs w:val="22"/>
          <w:highlight w:val="yellow"/>
        </w:rPr>
        <w:t>See also GASB 94 for other capital asset guidance related to the underlying asset.</w:t>
      </w:r>
    </w:p>
    <w:p w14:paraId="1DE2E2C1" w14:textId="77777777" w:rsidR="0059529A" w:rsidRPr="0059529A" w:rsidRDefault="0059529A" w:rsidP="0059529A">
      <w:pPr>
        <w:widowControl/>
        <w:autoSpaceDE/>
        <w:autoSpaceDN/>
        <w:adjustRightInd/>
        <w:jc w:val="both"/>
        <w:rPr>
          <w:bCs/>
          <w:sz w:val="22"/>
          <w:szCs w:val="22"/>
        </w:rPr>
      </w:pPr>
    </w:p>
    <w:p w14:paraId="4BF05E0E" w14:textId="77777777" w:rsidR="0004241E" w:rsidRPr="00CC75EE" w:rsidRDefault="0004241E" w:rsidP="00533678">
      <w:pPr>
        <w:widowControl/>
        <w:jc w:val="both"/>
        <w:rPr>
          <w:b/>
          <w:sz w:val="24"/>
          <w:szCs w:val="24"/>
        </w:rPr>
      </w:pPr>
      <w:r w:rsidRPr="00CC75EE">
        <w:rPr>
          <w:b/>
          <w:sz w:val="24"/>
          <w:szCs w:val="24"/>
        </w:rPr>
        <w:t>Note 2</w:t>
      </w:r>
      <w:r>
        <w:rPr>
          <w:b/>
          <w:sz w:val="24"/>
          <w:szCs w:val="24"/>
        </w:rPr>
        <w:t>3</w:t>
      </w:r>
      <w:r w:rsidRPr="00CC75EE">
        <w:rPr>
          <w:b/>
          <w:sz w:val="24"/>
          <w:szCs w:val="24"/>
        </w:rPr>
        <w:t xml:space="preserve"> – Component Units</w:t>
      </w:r>
    </w:p>
    <w:p w14:paraId="5F5514E1" w14:textId="77777777" w:rsidR="0004241E" w:rsidRPr="005374C3" w:rsidRDefault="0004241E" w:rsidP="00533678">
      <w:pPr>
        <w:widowControl/>
        <w:jc w:val="both"/>
        <w:rPr>
          <w:sz w:val="22"/>
          <w:szCs w:val="22"/>
        </w:rPr>
      </w:pPr>
    </w:p>
    <w:p w14:paraId="5A2E968D" w14:textId="77777777" w:rsidR="00ED5385" w:rsidRPr="00D930DB" w:rsidRDefault="00ED5385" w:rsidP="00ED5385">
      <w:pPr>
        <w:jc w:val="both"/>
        <w:rPr>
          <w:sz w:val="22"/>
          <w:szCs w:val="22"/>
          <w:highlight w:val="yellow"/>
        </w:rPr>
      </w:pPr>
      <w:r w:rsidRPr="00D930DB">
        <w:rPr>
          <w:sz w:val="22"/>
          <w:szCs w:val="22"/>
          <w:highlight w:val="yellow"/>
        </w:rPr>
        <w:t>Users should be able to distinguish between information pertaining to the primary government (including its blended component units) and that of its discretely presented component units.</w:t>
      </w:r>
    </w:p>
    <w:p w14:paraId="48528CB1" w14:textId="77777777" w:rsidR="00ED5385" w:rsidRPr="00D930DB" w:rsidRDefault="00ED5385" w:rsidP="00ED5385">
      <w:pPr>
        <w:jc w:val="both"/>
        <w:rPr>
          <w:sz w:val="22"/>
          <w:szCs w:val="22"/>
          <w:highlight w:val="yellow"/>
        </w:rPr>
      </w:pPr>
    </w:p>
    <w:p w14:paraId="21EC4A9A" w14:textId="77777777" w:rsidR="00ED5385" w:rsidRPr="00D930DB" w:rsidRDefault="00ED5385" w:rsidP="00ED5385">
      <w:pPr>
        <w:jc w:val="both"/>
        <w:rPr>
          <w:sz w:val="22"/>
          <w:szCs w:val="22"/>
          <w:highlight w:val="yellow"/>
        </w:rPr>
      </w:pPr>
      <w:r w:rsidRPr="00D930DB">
        <w:rPr>
          <w:sz w:val="22"/>
          <w:szCs w:val="22"/>
          <w:highlight w:val="yellow"/>
        </w:rPr>
        <w:t xml:space="preserve">Notes encompass major discretely presented component units considering the unit’s significance relative to the total discretely presented component units and the nature and significance of the unit’s relationship to the primary government.  Determining which discretely presented component unit disclosures are essential to fair </w:t>
      </w:r>
      <w:r w:rsidRPr="00D930DB">
        <w:rPr>
          <w:sz w:val="22"/>
          <w:szCs w:val="22"/>
          <w:highlight w:val="yellow"/>
        </w:rPr>
        <w:lastRenderedPageBreak/>
        <w:t>presentation is a matter of professional judgment and should be done on a component unit-by-component unit basis.  A specific type of disclosure might be essential for one component unit but not for another depending on the component unit’s significance relative to the total component units and the individual component unit’s relationship with the primary government.</w:t>
      </w:r>
    </w:p>
    <w:p w14:paraId="00F6C9CB" w14:textId="77777777" w:rsidR="00ED5385" w:rsidRPr="00D930DB" w:rsidRDefault="00ED5385" w:rsidP="00ED5385">
      <w:pPr>
        <w:jc w:val="both"/>
        <w:rPr>
          <w:sz w:val="22"/>
          <w:szCs w:val="22"/>
          <w:highlight w:val="yellow"/>
        </w:rPr>
      </w:pPr>
    </w:p>
    <w:p w14:paraId="54B052D4" w14:textId="6056D9E8" w:rsidR="00204A2C" w:rsidRDefault="00ED5385" w:rsidP="00ED5385">
      <w:pPr>
        <w:jc w:val="both"/>
        <w:rPr>
          <w:sz w:val="22"/>
          <w:szCs w:val="22"/>
        </w:rPr>
      </w:pPr>
      <w:r w:rsidRPr="00D930DB">
        <w:rPr>
          <w:sz w:val="22"/>
          <w:szCs w:val="22"/>
          <w:highlight w:val="yellow"/>
        </w:rPr>
        <w:t>Component unit information included in other notes need not be repeated in this note.</w:t>
      </w:r>
    </w:p>
    <w:p w14:paraId="0B66827C" w14:textId="77777777" w:rsidR="00204A2C" w:rsidRDefault="00204A2C" w:rsidP="000B0377">
      <w:pPr>
        <w:tabs>
          <w:tab w:val="left" w:pos="2790"/>
        </w:tabs>
        <w:jc w:val="both"/>
        <w:rPr>
          <w:sz w:val="22"/>
          <w:szCs w:val="22"/>
        </w:rPr>
      </w:pPr>
    </w:p>
    <w:p w14:paraId="76A87EFF" w14:textId="77777777" w:rsidR="00204A2C" w:rsidRDefault="00204A2C" w:rsidP="00204A2C">
      <w:pPr>
        <w:tabs>
          <w:tab w:val="left" w:pos="540"/>
        </w:tabs>
        <w:jc w:val="both"/>
        <w:rPr>
          <w:b/>
          <w:sz w:val="22"/>
          <w:szCs w:val="22"/>
        </w:rPr>
      </w:pPr>
      <w:r w:rsidRPr="0094360B">
        <w:rPr>
          <w:b/>
          <w:sz w:val="22"/>
          <w:szCs w:val="22"/>
        </w:rPr>
        <w:t>Note 24 – COVID-19</w:t>
      </w:r>
    </w:p>
    <w:p w14:paraId="0B275C34" w14:textId="77777777" w:rsidR="00ED5385" w:rsidRDefault="00ED5385" w:rsidP="00204A2C">
      <w:pPr>
        <w:tabs>
          <w:tab w:val="left" w:pos="540"/>
        </w:tabs>
        <w:jc w:val="both"/>
        <w:rPr>
          <w:b/>
          <w:sz w:val="22"/>
          <w:szCs w:val="22"/>
        </w:rPr>
      </w:pPr>
    </w:p>
    <w:p w14:paraId="18AA4A48" w14:textId="77777777" w:rsidR="000F184E" w:rsidRPr="00101564" w:rsidRDefault="000F184E" w:rsidP="000F184E">
      <w:pPr>
        <w:jc w:val="both"/>
        <w:rPr>
          <w:i/>
          <w:sz w:val="22"/>
          <w:szCs w:val="22"/>
          <w:highlight w:val="yellow"/>
        </w:rPr>
      </w:pPr>
      <w:r w:rsidRPr="00101564">
        <w:rPr>
          <w:i/>
          <w:sz w:val="22"/>
          <w:szCs w:val="22"/>
          <w:highlight w:val="yellow"/>
        </w:rPr>
        <w:t>These disclosures are optional and should be removed when substantially all COVID-19 funding has been spent. As described below, this note can also help explain any unique COVID situations.</w:t>
      </w:r>
    </w:p>
    <w:p w14:paraId="57F0669A" w14:textId="77777777" w:rsidR="000F184E" w:rsidRDefault="000F184E" w:rsidP="000F184E">
      <w:pPr>
        <w:rPr>
          <w:i/>
          <w:sz w:val="22"/>
          <w:szCs w:val="22"/>
          <w:highlight w:val="cyan"/>
        </w:rPr>
      </w:pPr>
    </w:p>
    <w:p w14:paraId="3C9D0680" w14:textId="15CD805F" w:rsidR="000F184E" w:rsidRPr="00101564" w:rsidRDefault="000F184E" w:rsidP="000F184E">
      <w:pPr>
        <w:jc w:val="both"/>
        <w:rPr>
          <w:iCs/>
          <w:sz w:val="22"/>
          <w:szCs w:val="22"/>
          <w:highlight w:val="yellow"/>
        </w:rPr>
      </w:pPr>
      <w:r w:rsidRPr="0095572A">
        <w:rPr>
          <w:iCs/>
          <w:sz w:val="22"/>
          <w:szCs w:val="22"/>
          <w:highlight w:val="green"/>
        </w:rPr>
        <w:t>The United States and the State of Ohio declared a state of emergency in March of 2020 due to the COVID-19 pandemic. Ohio’s state of emergency ended in June 2021 while the national state of emergency ended in April 2023. </w:t>
      </w:r>
      <w:r w:rsidRPr="00101564">
        <w:rPr>
          <w:iCs/>
          <w:sz w:val="22"/>
          <w:szCs w:val="22"/>
        </w:rPr>
        <w:t xml:space="preserve"> </w:t>
      </w:r>
      <w:r w:rsidRPr="00101564">
        <w:rPr>
          <w:iCs/>
          <w:sz w:val="22"/>
          <w:szCs w:val="22"/>
          <w:highlight w:val="green"/>
        </w:rPr>
        <w:t xml:space="preserve">During </w:t>
      </w:r>
      <w:r w:rsidRPr="0095572A">
        <w:rPr>
          <w:iCs/>
          <w:sz w:val="22"/>
          <w:szCs w:val="22"/>
          <w:highlight w:val="cyan"/>
        </w:rPr>
        <w:t>2024</w:t>
      </w:r>
      <w:r w:rsidRPr="00101564">
        <w:rPr>
          <w:iCs/>
          <w:sz w:val="22"/>
          <w:szCs w:val="22"/>
          <w:highlight w:val="green"/>
        </w:rPr>
        <w:t xml:space="preserve">, the </w:t>
      </w:r>
      <w:r w:rsidR="009C0E40">
        <w:rPr>
          <w:iCs/>
          <w:sz w:val="22"/>
          <w:szCs w:val="22"/>
          <w:highlight w:val="green"/>
        </w:rPr>
        <w:t>Library</w:t>
      </w:r>
      <w:r w:rsidRPr="00101564">
        <w:rPr>
          <w:iCs/>
          <w:sz w:val="22"/>
          <w:szCs w:val="22"/>
          <w:highlight w:val="green"/>
        </w:rPr>
        <w:t xml:space="preserve"> received COVID-19 funding. </w:t>
      </w:r>
      <w:r w:rsidRPr="00101564">
        <w:rPr>
          <w:iCs/>
          <w:sz w:val="22"/>
          <w:szCs w:val="22"/>
        </w:rPr>
        <w:t xml:space="preserve"> (</w:t>
      </w:r>
      <w:r w:rsidRPr="00101564">
        <w:rPr>
          <w:iCs/>
          <w:sz w:val="22"/>
          <w:szCs w:val="22"/>
          <w:highlight w:val="yellow"/>
        </w:rPr>
        <w:t>Edit or delete as needed.) </w:t>
      </w:r>
      <w:r w:rsidRPr="00101564">
        <w:rPr>
          <w:iCs/>
          <w:sz w:val="22"/>
          <w:szCs w:val="22"/>
        </w:rPr>
        <w:t xml:space="preserve"> </w:t>
      </w:r>
      <w:r w:rsidRPr="008739FB">
        <w:rPr>
          <w:iCs/>
          <w:sz w:val="22"/>
          <w:szCs w:val="22"/>
          <w:highlight w:val="green"/>
        </w:rPr>
        <w:t xml:space="preserve">The </w:t>
      </w:r>
      <w:r w:rsidR="009C0E40">
        <w:rPr>
          <w:iCs/>
          <w:sz w:val="22"/>
          <w:szCs w:val="22"/>
          <w:highlight w:val="green"/>
        </w:rPr>
        <w:t>Library</w:t>
      </w:r>
      <w:r w:rsidRPr="008739FB">
        <w:rPr>
          <w:iCs/>
          <w:sz w:val="22"/>
          <w:szCs w:val="22"/>
          <w:highlight w:val="green"/>
        </w:rPr>
        <w:t xml:space="preserve"> will continue to spend available COVID-19 funding consistent with the applicable program guidelines.</w:t>
      </w:r>
      <w:r w:rsidRPr="00101564">
        <w:rPr>
          <w:iCs/>
          <w:sz w:val="22"/>
          <w:szCs w:val="22"/>
        </w:rPr>
        <w:t xml:space="preserve"> </w:t>
      </w:r>
      <w:r w:rsidRPr="00101564">
        <w:rPr>
          <w:iCs/>
          <w:sz w:val="22"/>
          <w:szCs w:val="22"/>
          <w:highlight w:val="yellow"/>
        </w:rPr>
        <w:t xml:space="preserve">(Specific material impacts from the pandemic may be addressed such as decreases in revenues, personnel impacts, and the </w:t>
      </w:r>
      <w:r w:rsidR="009C0E40">
        <w:rPr>
          <w:iCs/>
          <w:sz w:val="22"/>
          <w:szCs w:val="22"/>
          <w:highlight w:val="yellow"/>
        </w:rPr>
        <w:t>Library</w:t>
      </w:r>
      <w:r w:rsidRPr="00101564">
        <w:rPr>
          <w:iCs/>
          <w:sz w:val="22"/>
          <w:szCs w:val="22"/>
          <w:highlight w:val="yellow"/>
        </w:rPr>
        <w:t>’s specific responses to mitigating the negative impacts of the pandemic as well as awards of federal and state COVID relief programs may be addressed at the discretion of the treasurer. This note can be removed when substantially all COVID-19 funding has been spent.)</w:t>
      </w:r>
    </w:p>
    <w:p w14:paraId="6F0F2D32" w14:textId="77777777" w:rsidR="000F184E" w:rsidRDefault="000F184E" w:rsidP="000F184E">
      <w:pPr>
        <w:jc w:val="both"/>
        <w:rPr>
          <w:sz w:val="22"/>
          <w:szCs w:val="22"/>
          <w:highlight w:val="yellow"/>
        </w:rPr>
      </w:pPr>
      <w:bookmarkStart w:id="278" w:name="_Hlk154214348"/>
    </w:p>
    <w:p w14:paraId="3445C90E" w14:textId="77777777" w:rsidR="000F184E" w:rsidRPr="008739FB" w:rsidRDefault="000F184E" w:rsidP="000F184E">
      <w:pPr>
        <w:jc w:val="both"/>
        <w:rPr>
          <w:sz w:val="22"/>
          <w:szCs w:val="22"/>
          <w:highlight w:val="yellow"/>
        </w:rPr>
      </w:pPr>
      <w:r w:rsidRPr="008739FB">
        <w:rPr>
          <w:sz w:val="22"/>
          <w:szCs w:val="22"/>
          <w:highlight w:val="yellow"/>
        </w:rPr>
        <w:t>The following disclosures may help explain some of the unique COVID situations and can be used as appropriate. Also, the paragraph about investment volatility can be removed.</w:t>
      </w:r>
    </w:p>
    <w:bookmarkEnd w:id="278"/>
    <w:p w14:paraId="743EFB85" w14:textId="77777777" w:rsidR="000F184E" w:rsidRPr="008739FB" w:rsidRDefault="000F184E" w:rsidP="000F184E">
      <w:pPr>
        <w:jc w:val="both"/>
        <w:rPr>
          <w:rFonts w:ascii="Calibri" w:hAnsi="Calibri" w:cs="Calibri"/>
          <w:color w:val="1F497D"/>
          <w:sz w:val="22"/>
          <w:szCs w:val="22"/>
          <w:highlight w:val="yellow"/>
        </w:rPr>
      </w:pPr>
    </w:p>
    <w:p w14:paraId="2F440A90" w14:textId="4BCD31DF" w:rsidR="000F184E" w:rsidRPr="005552C0" w:rsidRDefault="000F184E" w:rsidP="000F184E">
      <w:pPr>
        <w:jc w:val="both"/>
        <w:rPr>
          <w:i/>
          <w:iCs/>
          <w:sz w:val="22"/>
          <w:szCs w:val="22"/>
          <w:highlight w:val="yellow"/>
        </w:rPr>
      </w:pPr>
      <w:r w:rsidRPr="005552C0">
        <w:rPr>
          <w:i/>
          <w:iCs/>
          <w:sz w:val="22"/>
          <w:szCs w:val="22"/>
          <w:highlight w:val="yellow"/>
        </w:rPr>
        <w:t>(If the entity has used intergovernmental expenditure/expense as appropriate, the following paragraph is optional at the discretion of the fiscal officer</w:t>
      </w:r>
      <w:r>
        <w:rPr>
          <w:i/>
          <w:iCs/>
          <w:sz w:val="22"/>
          <w:szCs w:val="22"/>
          <w:highlight w:val="yellow"/>
        </w:rPr>
        <w:t>.</w:t>
      </w:r>
      <w:r w:rsidRPr="005552C0">
        <w:rPr>
          <w:i/>
          <w:iCs/>
          <w:sz w:val="22"/>
          <w:szCs w:val="22"/>
          <w:highlight w:val="yellow"/>
        </w:rPr>
        <w:t xml:space="preserve">)  </w:t>
      </w:r>
      <w:r w:rsidRPr="008739FB">
        <w:rPr>
          <w:sz w:val="22"/>
          <w:szCs w:val="22"/>
          <w:highlight w:val="green"/>
        </w:rPr>
        <w:t xml:space="preserve">The </w:t>
      </w:r>
      <w:r w:rsidRPr="005552C0">
        <w:rPr>
          <w:sz w:val="22"/>
          <w:szCs w:val="22"/>
          <w:highlight w:val="cyan"/>
        </w:rPr>
        <w:t>202</w:t>
      </w:r>
      <w:r>
        <w:rPr>
          <w:sz w:val="22"/>
          <w:szCs w:val="22"/>
          <w:highlight w:val="cyan"/>
        </w:rPr>
        <w:t>4</w:t>
      </w:r>
      <w:r w:rsidRPr="008739FB">
        <w:rPr>
          <w:sz w:val="22"/>
          <w:szCs w:val="22"/>
          <w:highlight w:val="green"/>
        </w:rPr>
        <w:t xml:space="preserve"> activity includes, $XXX,XXX which was sub-granted to other governments and organization</w:t>
      </w:r>
      <w:r w:rsidRPr="002A401C">
        <w:rPr>
          <w:sz w:val="22"/>
          <w:szCs w:val="22"/>
          <w:highlight w:val="green"/>
        </w:rPr>
        <w:t>s</w:t>
      </w:r>
      <w:r w:rsidRPr="005552C0">
        <w:rPr>
          <w:sz w:val="22"/>
          <w:szCs w:val="22"/>
        </w:rPr>
        <w:t xml:space="preserve">  </w:t>
      </w:r>
      <w:r w:rsidRPr="005552C0">
        <w:rPr>
          <w:i/>
          <w:iCs/>
          <w:sz w:val="22"/>
          <w:szCs w:val="22"/>
          <w:highlight w:val="yellow"/>
        </w:rPr>
        <w:t>(update as needed</w:t>
      </w:r>
      <w:r w:rsidRPr="005552C0">
        <w:rPr>
          <w:i/>
          <w:iCs/>
          <w:sz w:val="22"/>
          <w:szCs w:val="22"/>
        </w:rPr>
        <w:t>)</w:t>
      </w:r>
      <w:r w:rsidRPr="005552C0">
        <w:rPr>
          <w:sz w:val="22"/>
          <w:szCs w:val="22"/>
        </w:rPr>
        <w:t xml:space="preserve">, </w:t>
      </w:r>
      <w:r w:rsidRPr="008739FB">
        <w:rPr>
          <w:sz w:val="22"/>
          <w:szCs w:val="22"/>
          <w:highlight w:val="green"/>
        </w:rPr>
        <w:t>$XXX,XXX which was returned to the granting agency, and $XXX,XXX which was spent on-behalf of other governments.  These amounts are reflected as intergovernmental</w:t>
      </w:r>
      <w:r w:rsidRPr="005552C0">
        <w:rPr>
          <w:sz w:val="22"/>
          <w:szCs w:val="22"/>
        </w:rPr>
        <w:t xml:space="preserve"> </w:t>
      </w:r>
      <w:r w:rsidRPr="005552C0">
        <w:rPr>
          <w:i/>
          <w:iCs/>
          <w:sz w:val="22"/>
          <w:szCs w:val="22"/>
          <w:highlight w:val="yellow"/>
        </w:rPr>
        <w:t>(update as needed</w:t>
      </w:r>
      <w:r w:rsidRPr="005552C0">
        <w:rPr>
          <w:i/>
          <w:iCs/>
          <w:sz w:val="22"/>
          <w:szCs w:val="22"/>
        </w:rPr>
        <w:t>)</w:t>
      </w:r>
      <w:r w:rsidRPr="005552C0">
        <w:rPr>
          <w:sz w:val="22"/>
          <w:szCs w:val="22"/>
        </w:rPr>
        <w:t xml:space="preserve"> </w:t>
      </w:r>
      <w:r w:rsidRPr="008739FB">
        <w:rPr>
          <w:sz w:val="22"/>
          <w:szCs w:val="22"/>
          <w:highlight w:val="green"/>
        </w:rPr>
        <w:t>expenditures in the applicable Special Revenue Fund (update/modify as needed) on the accompanying financial statements.</w:t>
      </w:r>
      <w:r w:rsidRPr="005552C0">
        <w:rPr>
          <w:i/>
          <w:iCs/>
          <w:sz w:val="22"/>
          <w:szCs w:val="22"/>
          <w:highlight w:val="yellow"/>
        </w:rPr>
        <w:t xml:space="preserve"> (If the </w:t>
      </w:r>
      <w:r w:rsidR="009C0E40">
        <w:rPr>
          <w:i/>
          <w:iCs/>
          <w:sz w:val="22"/>
          <w:szCs w:val="22"/>
          <w:highlight w:val="yellow"/>
        </w:rPr>
        <w:t>Library</w:t>
      </w:r>
      <w:r w:rsidRPr="005552C0">
        <w:rPr>
          <w:i/>
          <w:iCs/>
          <w:sz w:val="22"/>
          <w:szCs w:val="22"/>
          <w:highlight w:val="yellow"/>
        </w:rPr>
        <w:t xml:space="preserve"> recorded amounts returned to the granting agency as a reduction of intergovernmental revenue, include the following sentence)</w:t>
      </w:r>
      <w:r w:rsidRPr="005552C0">
        <w:rPr>
          <w:i/>
          <w:iCs/>
          <w:sz w:val="22"/>
          <w:szCs w:val="22"/>
        </w:rPr>
        <w:t>:</w:t>
      </w:r>
      <w:r w:rsidRPr="005552C0">
        <w:rPr>
          <w:sz w:val="22"/>
          <w:szCs w:val="22"/>
        </w:rPr>
        <w:t xml:space="preserve">  </w:t>
      </w:r>
      <w:r w:rsidRPr="008739FB">
        <w:rPr>
          <w:sz w:val="22"/>
          <w:szCs w:val="22"/>
          <w:highlight w:val="green"/>
        </w:rPr>
        <w:t>The amounts returned to the granting agency are reflected as a reduction of intergovernmental revenue</w:t>
      </w:r>
      <w:r w:rsidRPr="005552C0">
        <w:rPr>
          <w:sz w:val="22"/>
          <w:szCs w:val="22"/>
        </w:rPr>
        <w:t xml:space="preserve"> </w:t>
      </w:r>
      <w:r w:rsidRPr="005552C0">
        <w:rPr>
          <w:i/>
          <w:iCs/>
          <w:sz w:val="22"/>
          <w:szCs w:val="22"/>
          <w:highlight w:val="yellow"/>
        </w:rPr>
        <w:t>(update as needed)</w:t>
      </w:r>
      <w:r w:rsidRPr="005552C0">
        <w:rPr>
          <w:sz w:val="22"/>
          <w:szCs w:val="22"/>
        </w:rPr>
        <w:t xml:space="preserve"> </w:t>
      </w:r>
      <w:r w:rsidRPr="008739FB">
        <w:rPr>
          <w:sz w:val="22"/>
          <w:szCs w:val="22"/>
          <w:highlight w:val="green"/>
        </w:rPr>
        <w:t>in the applicable Special Revenue Fund</w:t>
      </w:r>
      <w:r w:rsidRPr="005552C0">
        <w:rPr>
          <w:sz w:val="22"/>
          <w:szCs w:val="22"/>
        </w:rPr>
        <w:t xml:space="preserve"> </w:t>
      </w:r>
      <w:r w:rsidRPr="005552C0">
        <w:rPr>
          <w:i/>
          <w:iCs/>
          <w:sz w:val="22"/>
          <w:szCs w:val="22"/>
          <w:highlight w:val="yellow"/>
        </w:rPr>
        <w:t xml:space="preserve">(update as needed). (Delete paragraph if no sub-grants were made, no monies were returned to the granting agency, and no on-behalf payments were made.)  </w:t>
      </w:r>
    </w:p>
    <w:p w14:paraId="605609DB" w14:textId="77777777" w:rsidR="000F184E" w:rsidRDefault="000F184E" w:rsidP="000F184E">
      <w:pPr>
        <w:jc w:val="both"/>
        <w:rPr>
          <w:sz w:val="22"/>
          <w:szCs w:val="22"/>
          <w:highlight w:val="cyan"/>
        </w:rPr>
      </w:pPr>
    </w:p>
    <w:p w14:paraId="5FC504B4" w14:textId="6A2BA08E" w:rsidR="000F184E" w:rsidRPr="00326B5A" w:rsidRDefault="000F184E" w:rsidP="000F184E">
      <w:pPr>
        <w:jc w:val="both"/>
        <w:rPr>
          <w:i/>
          <w:iCs/>
          <w:sz w:val="22"/>
          <w:szCs w:val="22"/>
          <w:highlight w:val="cyan"/>
        </w:rPr>
      </w:pPr>
      <w:r w:rsidRPr="00326B5A">
        <w:rPr>
          <w:sz w:val="22"/>
          <w:szCs w:val="22"/>
          <w:highlight w:val="yellow"/>
        </w:rPr>
        <w:t xml:space="preserve">(If the entity used the billing method to charge prior year expenditures to an applicable COVID fund, the following disclosure should be made.) </w:t>
      </w:r>
      <w:r w:rsidRPr="00BC0458">
        <w:rPr>
          <w:sz w:val="22"/>
          <w:szCs w:val="22"/>
          <w:highlight w:val="green"/>
        </w:rPr>
        <w:t xml:space="preserve">During </w:t>
      </w:r>
      <w:r w:rsidRPr="00326B5A">
        <w:rPr>
          <w:sz w:val="22"/>
          <w:szCs w:val="22"/>
          <w:highlight w:val="cyan"/>
        </w:rPr>
        <w:t>202</w:t>
      </w:r>
      <w:r>
        <w:rPr>
          <w:sz w:val="22"/>
          <w:szCs w:val="22"/>
          <w:highlight w:val="cyan"/>
        </w:rPr>
        <w:t>4</w:t>
      </w:r>
      <w:r w:rsidRPr="00326B5A">
        <w:rPr>
          <w:sz w:val="22"/>
          <w:szCs w:val="22"/>
          <w:highlight w:val="cyan"/>
        </w:rPr>
        <w:t>,</w:t>
      </w:r>
      <w:r w:rsidRPr="00BC0458">
        <w:rPr>
          <w:sz w:val="22"/>
          <w:szCs w:val="22"/>
          <w:highlight w:val="green"/>
        </w:rPr>
        <w:t xml:space="preserve"> the </w:t>
      </w:r>
      <w:r w:rsidR="009C0E40">
        <w:rPr>
          <w:sz w:val="22"/>
          <w:szCs w:val="22"/>
          <w:highlight w:val="green"/>
        </w:rPr>
        <w:t>Library</w:t>
      </w:r>
      <w:r w:rsidRPr="00BC0458">
        <w:rPr>
          <w:sz w:val="22"/>
          <w:szCs w:val="22"/>
          <w:highlight w:val="green"/>
        </w:rPr>
        <w:t xml:space="preserve"> charged prior year expenditures to the XXX Fund </w:t>
      </w:r>
      <w:r w:rsidRPr="00BC0458">
        <w:rPr>
          <w:sz w:val="22"/>
          <w:szCs w:val="22"/>
          <w:highlight w:val="yellow"/>
        </w:rPr>
        <w:t>(identify specific COVID Fund).</w:t>
      </w:r>
      <w:r w:rsidRPr="00BC0458">
        <w:rPr>
          <w:sz w:val="22"/>
          <w:szCs w:val="22"/>
          <w:highlight w:val="green"/>
        </w:rPr>
        <w:t xml:space="preserve">  The XXX Fund </w:t>
      </w:r>
      <w:r w:rsidRPr="00723083">
        <w:rPr>
          <w:sz w:val="22"/>
          <w:szCs w:val="22"/>
          <w:highlight w:val="yellow"/>
        </w:rPr>
        <w:t>(identify the fund that made the original expenditure)</w:t>
      </w:r>
      <w:r w:rsidRPr="000663AD">
        <w:rPr>
          <w:sz w:val="22"/>
          <w:szCs w:val="22"/>
          <w:highlight w:val="green"/>
        </w:rPr>
        <w:t xml:space="preserve"> billed the XXX Fund </w:t>
      </w:r>
      <w:r w:rsidRPr="00432D68">
        <w:rPr>
          <w:sz w:val="22"/>
          <w:szCs w:val="22"/>
          <w:highlight w:val="yellow"/>
        </w:rPr>
        <w:t>(identify specific COVID fund)</w:t>
      </w:r>
      <w:r w:rsidRPr="00432D68">
        <w:rPr>
          <w:sz w:val="22"/>
          <w:szCs w:val="22"/>
          <w:highlight w:val="green"/>
        </w:rPr>
        <w:t xml:space="preserve"> for these costs.  The XXX Fund </w:t>
      </w:r>
      <w:r w:rsidRPr="00432D68">
        <w:rPr>
          <w:sz w:val="22"/>
          <w:szCs w:val="22"/>
          <w:highlight w:val="yellow"/>
        </w:rPr>
        <w:t>(identify the fund that made the original expenditure)</w:t>
      </w:r>
      <w:r w:rsidRPr="00432D68">
        <w:rPr>
          <w:sz w:val="22"/>
          <w:szCs w:val="22"/>
          <w:highlight w:val="green"/>
        </w:rPr>
        <w:t xml:space="preserve"> is reflecting this receipt of $XXX,XXX as a XXXXX Revenue</w:t>
      </w:r>
      <w:r w:rsidRPr="00326B5A">
        <w:rPr>
          <w:sz w:val="22"/>
          <w:szCs w:val="22"/>
          <w:highlight w:val="cyan"/>
        </w:rPr>
        <w:t xml:space="preserve"> </w:t>
      </w:r>
      <w:r w:rsidRPr="00432D68">
        <w:rPr>
          <w:sz w:val="22"/>
          <w:szCs w:val="22"/>
          <w:highlight w:val="yellow"/>
        </w:rPr>
        <w:t>(identify revenue classification)</w:t>
      </w:r>
      <w:r w:rsidRPr="00432D68">
        <w:rPr>
          <w:sz w:val="22"/>
          <w:szCs w:val="22"/>
          <w:highlight w:val="green"/>
        </w:rPr>
        <w:t xml:space="preserve"> in the accompanying financial statements.</w:t>
      </w:r>
    </w:p>
    <w:p w14:paraId="245247AE" w14:textId="77777777" w:rsidR="000F184E" w:rsidRPr="005552C0" w:rsidRDefault="000F184E" w:rsidP="000F184E">
      <w:pPr>
        <w:jc w:val="both"/>
        <w:rPr>
          <w:sz w:val="22"/>
          <w:szCs w:val="22"/>
          <w:highlight w:val="cyan"/>
        </w:rPr>
      </w:pPr>
    </w:p>
    <w:p w14:paraId="0394B355" w14:textId="7A3F7374" w:rsidR="000F184E" w:rsidRPr="005552C0" w:rsidRDefault="000F184E" w:rsidP="000F184E">
      <w:pPr>
        <w:jc w:val="both"/>
        <w:rPr>
          <w:sz w:val="22"/>
          <w:szCs w:val="22"/>
        </w:rPr>
      </w:pPr>
      <w:r w:rsidRPr="005552C0">
        <w:rPr>
          <w:i/>
          <w:iCs/>
          <w:sz w:val="22"/>
          <w:szCs w:val="22"/>
          <w:highlight w:val="yellow"/>
        </w:rPr>
        <w:t>If the entity has recorded assets purchased by another government, including donated PPE on their day-to-day books consistent with AOS bulletin 2000-008, the following paragraph is optional at the discretion of the fiscal officer:</w:t>
      </w:r>
      <w:r w:rsidRPr="005552C0">
        <w:rPr>
          <w:i/>
          <w:iCs/>
          <w:sz w:val="22"/>
          <w:szCs w:val="22"/>
        </w:rPr>
        <w:t xml:space="preserve">  </w:t>
      </w:r>
      <w:r w:rsidRPr="003E79D8">
        <w:rPr>
          <w:sz w:val="22"/>
          <w:szCs w:val="22"/>
          <w:highlight w:val="green"/>
        </w:rPr>
        <w:t xml:space="preserve">During </w:t>
      </w:r>
      <w:r w:rsidRPr="005552C0">
        <w:rPr>
          <w:sz w:val="22"/>
          <w:szCs w:val="22"/>
          <w:highlight w:val="cyan"/>
        </w:rPr>
        <w:t>202</w:t>
      </w:r>
      <w:r>
        <w:rPr>
          <w:sz w:val="22"/>
          <w:szCs w:val="22"/>
          <w:highlight w:val="cyan"/>
        </w:rPr>
        <w:t>4</w:t>
      </w:r>
      <w:r w:rsidRPr="005552C0">
        <w:rPr>
          <w:sz w:val="22"/>
          <w:szCs w:val="22"/>
          <w:highlight w:val="cyan"/>
        </w:rPr>
        <w:t>,</w:t>
      </w:r>
      <w:r w:rsidRPr="003E79D8">
        <w:rPr>
          <w:sz w:val="22"/>
          <w:szCs w:val="22"/>
          <w:highlight w:val="green"/>
        </w:rPr>
        <w:t xml:space="preserve"> the </w:t>
      </w:r>
      <w:r w:rsidR="009C0E40">
        <w:rPr>
          <w:sz w:val="22"/>
          <w:szCs w:val="22"/>
          <w:highlight w:val="green"/>
        </w:rPr>
        <w:t>Library</w:t>
      </w:r>
      <w:r w:rsidRPr="003E79D8">
        <w:rPr>
          <w:sz w:val="22"/>
          <w:szCs w:val="22"/>
          <w:highlight w:val="green"/>
        </w:rPr>
        <w:t xml:space="preserve"> received $XXX,XXX as an on-behalf of grant from another government.  These amounts are recorded in the applicable Special Revenue Fund</w:t>
      </w:r>
      <w:r w:rsidRPr="005552C0">
        <w:rPr>
          <w:sz w:val="22"/>
          <w:szCs w:val="22"/>
        </w:rPr>
        <w:t xml:space="preserve"> </w:t>
      </w:r>
      <w:r w:rsidRPr="005552C0">
        <w:rPr>
          <w:i/>
          <w:iCs/>
          <w:sz w:val="22"/>
          <w:szCs w:val="22"/>
          <w:highlight w:val="yellow"/>
        </w:rPr>
        <w:t xml:space="preserve">(update as needed and delete if none).  </w:t>
      </w:r>
      <w:r w:rsidRPr="005552C0">
        <w:rPr>
          <w:sz w:val="22"/>
          <w:szCs w:val="22"/>
          <w:highlight w:val="yellow"/>
        </w:rPr>
        <w:t>(</w:t>
      </w:r>
      <w:r w:rsidRPr="005552C0">
        <w:rPr>
          <w:i/>
          <w:iCs/>
          <w:sz w:val="22"/>
          <w:szCs w:val="22"/>
          <w:highlight w:val="yellow"/>
        </w:rPr>
        <w:t xml:space="preserve">See AOS bulletins 2000-008 &amp; 2021-004, as well as the information and, specifically the FAQs, available on AOS COVID website at </w:t>
      </w:r>
      <w:hyperlink r:id="rId60" w:history="1">
        <w:r w:rsidRPr="005552C0">
          <w:rPr>
            <w:rStyle w:val="Hyperlink"/>
            <w:i/>
            <w:iCs/>
            <w:sz w:val="22"/>
            <w:szCs w:val="22"/>
            <w:highlight w:val="yellow"/>
          </w:rPr>
          <w:t>COVID-19 Assistance (ohioauditor.gov)</w:t>
        </w:r>
      </w:hyperlink>
      <w:r w:rsidRPr="005552C0">
        <w:rPr>
          <w:sz w:val="22"/>
          <w:szCs w:val="22"/>
          <w:highlight w:val="yellow"/>
        </w:rPr>
        <w:t xml:space="preserve">.)  </w:t>
      </w:r>
      <w:r w:rsidRPr="005552C0">
        <w:rPr>
          <w:i/>
          <w:iCs/>
          <w:sz w:val="22"/>
          <w:szCs w:val="22"/>
          <w:highlight w:val="yellow"/>
        </w:rPr>
        <w:t>Note:  This disclosure relates to assets purchased by another government and may include items such as donated PPE</w:t>
      </w:r>
      <w:r w:rsidRPr="005552C0">
        <w:rPr>
          <w:i/>
          <w:iCs/>
          <w:sz w:val="22"/>
          <w:szCs w:val="22"/>
        </w:rPr>
        <w:t>.</w:t>
      </w:r>
    </w:p>
    <w:p w14:paraId="4BAF850E" w14:textId="7AB0848A" w:rsidR="00E31AA3" w:rsidRPr="00E31AA3" w:rsidRDefault="000F184E" w:rsidP="000F184E">
      <w:pPr>
        <w:widowControl/>
        <w:autoSpaceDE/>
        <w:autoSpaceDN/>
        <w:adjustRightInd/>
        <w:jc w:val="both"/>
        <w:rPr>
          <w:i/>
          <w:iCs/>
          <w:sz w:val="22"/>
          <w:szCs w:val="22"/>
          <w:highlight w:val="yellow"/>
        </w:rPr>
      </w:pPr>
      <w:r w:rsidRPr="00534CF8">
        <w:rPr>
          <w:i/>
          <w:iCs/>
          <w:sz w:val="22"/>
          <w:szCs w:val="22"/>
          <w:highlight w:val="yellow"/>
        </w:rPr>
        <w:lastRenderedPageBreak/>
        <w:t>Customizing the above disclosures of COVID-19 federal funding by program (American Rescue Plan Act Coronavirus State and Local Fiscal Recovery Fund, and other similar COVID-19 related programs) is at the discretion of management.</w:t>
      </w:r>
    </w:p>
    <w:p w14:paraId="625838A6" w14:textId="77777777" w:rsidR="0094360B" w:rsidRPr="008972A0" w:rsidRDefault="0094360B" w:rsidP="0094360B">
      <w:pPr>
        <w:rPr>
          <w:i/>
          <w:sz w:val="22"/>
          <w:szCs w:val="22"/>
        </w:rPr>
      </w:pPr>
    </w:p>
    <w:p w14:paraId="6D8227F2" w14:textId="77777777" w:rsidR="00204A2C" w:rsidRPr="000B0377" w:rsidRDefault="00204A2C" w:rsidP="0094360B">
      <w:pPr>
        <w:jc w:val="both"/>
        <w:rPr>
          <w:sz w:val="22"/>
          <w:szCs w:val="22"/>
        </w:rPr>
      </w:pPr>
    </w:p>
    <w:sectPr w:rsidR="00204A2C" w:rsidRPr="000B0377" w:rsidSect="004A64FD">
      <w:headerReference w:type="default" r:id="rId61"/>
      <w:footerReference w:type="even" r:id="rId62"/>
      <w:footerReference w:type="default" r:id="rId63"/>
      <w:type w:val="continuous"/>
      <w:pgSz w:w="12240" w:h="15840"/>
      <w:pgMar w:top="475" w:right="1296" w:bottom="475" w:left="1296"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DF7757" w14:textId="77777777" w:rsidR="00E20E22" w:rsidRDefault="00E20E22">
      <w:r>
        <w:separator/>
      </w:r>
    </w:p>
  </w:endnote>
  <w:endnote w:type="continuationSeparator" w:id="0">
    <w:p w14:paraId="1E1ECF5D" w14:textId="77777777" w:rsidR="00E20E22" w:rsidRDefault="00E20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B413EA" w14:textId="77777777" w:rsidR="00215A53" w:rsidRDefault="00215A53" w:rsidP="00574E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6CDC30" w14:textId="77777777" w:rsidR="00215A53" w:rsidRDefault="00215A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117A08" w14:textId="77777777" w:rsidR="00215A53" w:rsidRDefault="00215A53" w:rsidP="005374C3">
    <w:pPr>
      <w:pStyle w:val="Footer"/>
      <w:jc w:val="center"/>
      <w:rPr>
        <w:sz w:val="22"/>
        <w:szCs w:val="22"/>
      </w:rPr>
    </w:pPr>
    <w:r w:rsidRPr="002F02C2">
      <w:rPr>
        <w:sz w:val="22"/>
        <w:szCs w:val="22"/>
      </w:rPr>
      <w:t xml:space="preserve">- </w:t>
    </w:r>
    <w:r w:rsidRPr="002F02C2">
      <w:rPr>
        <w:sz w:val="22"/>
        <w:szCs w:val="22"/>
      </w:rPr>
      <w:fldChar w:fldCharType="begin"/>
    </w:r>
    <w:r w:rsidRPr="002F02C2">
      <w:rPr>
        <w:sz w:val="22"/>
        <w:szCs w:val="22"/>
      </w:rPr>
      <w:instrText xml:space="preserve"> PAGE   \* MERGEFORMAT </w:instrText>
    </w:r>
    <w:r w:rsidRPr="002F02C2">
      <w:rPr>
        <w:sz w:val="22"/>
        <w:szCs w:val="22"/>
      </w:rPr>
      <w:fldChar w:fldCharType="separate"/>
    </w:r>
    <w:r w:rsidR="006B73B4">
      <w:rPr>
        <w:noProof/>
        <w:sz w:val="22"/>
        <w:szCs w:val="22"/>
      </w:rPr>
      <w:t>1</w:t>
    </w:r>
    <w:r w:rsidRPr="002F02C2">
      <w:rPr>
        <w:sz w:val="22"/>
        <w:szCs w:val="22"/>
      </w:rPr>
      <w:fldChar w:fldCharType="end"/>
    </w:r>
    <w:r w:rsidRPr="002F02C2">
      <w:rPr>
        <w:sz w:val="22"/>
        <w:szCs w:val="22"/>
      </w:rPr>
      <w:t xml:space="preserve"> </w:t>
    </w:r>
    <w:r>
      <w:rPr>
        <w:sz w:val="22"/>
        <w:szCs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3D5D5B" w14:textId="77777777" w:rsidR="00E20E22" w:rsidRDefault="00E20E22">
      <w:r>
        <w:separator/>
      </w:r>
    </w:p>
  </w:footnote>
  <w:footnote w:type="continuationSeparator" w:id="0">
    <w:p w14:paraId="4C7FD286" w14:textId="77777777" w:rsidR="00E20E22" w:rsidRDefault="00E20E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A74403" w14:textId="77777777" w:rsidR="00215A53" w:rsidRDefault="00215A53" w:rsidP="005374C3">
    <w:pPr>
      <w:jc w:val="center"/>
      <w:rPr>
        <w:b/>
        <w:sz w:val="24"/>
        <w:szCs w:val="24"/>
      </w:rPr>
    </w:pPr>
    <w:r>
      <w:rPr>
        <w:b/>
        <w:sz w:val="24"/>
        <w:szCs w:val="24"/>
      </w:rPr>
      <w:t>XYZ</w:t>
    </w:r>
    <w:r w:rsidRPr="002F02C2">
      <w:rPr>
        <w:b/>
        <w:sz w:val="24"/>
        <w:szCs w:val="24"/>
      </w:rPr>
      <w:t xml:space="preserve"> </w:t>
    </w:r>
    <w:r>
      <w:rPr>
        <w:b/>
        <w:sz w:val="24"/>
        <w:szCs w:val="24"/>
      </w:rPr>
      <w:t>Public Library</w:t>
    </w:r>
  </w:p>
  <w:p w14:paraId="1EE8ED9A" w14:textId="77777777" w:rsidR="00215A53" w:rsidRDefault="00215A53" w:rsidP="005374C3">
    <w:pPr>
      <w:jc w:val="center"/>
      <w:rPr>
        <w:i/>
        <w:sz w:val="22"/>
        <w:szCs w:val="22"/>
      </w:rPr>
    </w:pPr>
    <w:r>
      <w:rPr>
        <w:i/>
        <w:sz w:val="22"/>
        <w:szCs w:val="22"/>
      </w:rPr>
      <w:t>XYZ County</w:t>
    </w:r>
  </w:p>
  <w:p w14:paraId="68EFF480" w14:textId="77777777" w:rsidR="00215A53" w:rsidRPr="002F02C2" w:rsidRDefault="00215A53" w:rsidP="005374C3">
    <w:pPr>
      <w:jc w:val="center"/>
      <w:rPr>
        <w:i/>
        <w:sz w:val="22"/>
        <w:szCs w:val="22"/>
      </w:rPr>
    </w:pPr>
    <w:r w:rsidRPr="002F02C2">
      <w:rPr>
        <w:i/>
        <w:sz w:val="22"/>
        <w:szCs w:val="22"/>
      </w:rPr>
      <w:t>Notes to the Basic Financial Statements</w:t>
    </w:r>
  </w:p>
  <w:p w14:paraId="5883BE3F" w14:textId="77777777" w:rsidR="00215A53" w:rsidRDefault="00215A53" w:rsidP="005374C3">
    <w:pPr>
      <w:jc w:val="center"/>
      <w:rPr>
        <w:i/>
        <w:sz w:val="22"/>
        <w:szCs w:val="22"/>
      </w:rPr>
    </w:pPr>
    <w:r w:rsidRPr="002F02C2">
      <w:rPr>
        <w:i/>
        <w:sz w:val="22"/>
        <w:szCs w:val="22"/>
      </w:rPr>
      <w:t xml:space="preserve">For the Year Ended </w:t>
    </w:r>
    <w:r>
      <w:rPr>
        <w:i/>
        <w:sz w:val="22"/>
        <w:szCs w:val="22"/>
      </w:rPr>
      <w:t>December 31</w:t>
    </w:r>
    <w:r w:rsidRPr="002F02C2">
      <w:rPr>
        <w:i/>
        <w:sz w:val="22"/>
        <w:szCs w:val="22"/>
      </w:rPr>
      <w:t>, 20CY</w:t>
    </w:r>
  </w:p>
  <w:p w14:paraId="5126585E" w14:textId="77777777" w:rsidR="00215A53" w:rsidRDefault="00215A53" w:rsidP="005374C3">
    <w:pPr>
      <w:jc w:val="center"/>
      <w:rPr>
        <w:i/>
        <w:sz w:val="22"/>
        <w:szCs w:val="22"/>
      </w:rPr>
    </w:pPr>
  </w:p>
  <w:p w14:paraId="4718F40D" w14:textId="77777777" w:rsidR="00215A53" w:rsidRPr="002F02C2" w:rsidRDefault="00215A53" w:rsidP="005374C3">
    <w:pPr>
      <w:pBdr>
        <w:top w:val="double" w:sz="4" w:space="1" w:color="auto"/>
      </w:pBdr>
      <w:jc w:val="center"/>
      <w:rPr>
        <w: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C22F80"/>
    <w:multiLevelType w:val="hybridMultilevel"/>
    <w:tmpl w:val="B73E5F60"/>
    <w:lvl w:ilvl="0" w:tplc="705252BE">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 w15:restartNumberingAfterBreak="0">
    <w:nsid w:val="15285E70"/>
    <w:multiLevelType w:val="multilevel"/>
    <w:tmpl w:val="5EF8E65C"/>
    <w:lvl w:ilvl="0">
      <w:start w:val="3"/>
      <w:numFmt w:val="upperLetter"/>
      <w:lvlText w:val="%1."/>
      <w:legacy w:legacy="1" w:legacySpace="0" w:legacyIndent="450"/>
      <w:lvlJc w:val="left"/>
      <w:pPr>
        <w:ind w:left="450" w:hanging="450"/>
      </w:pPr>
    </w:lvl>
    <w:lvl w:ilvl="1">
      <w:start w:val="1"/>
      <w:numFmt w:val="upperLetter"/>
      <w:lvlText w:val="%2."/>
      <w:legacy w:legacy="1" w:legacySpace="0" w:legacyIndent="450"/>
      <w:lvlJc w:val="left"/>
      <w:pPr>
        <w:ind w:left="900" w:hanging="450"/>
      </w:pPr>
    </w:lvl>
    <w:lvl w:ilvl="2">
      <w:start w:val="1"/>
      <w:numFmt w:val="upperLetter"/>
      <w:lvlText w:val="%3."/>
      <w:legacy w:legacy="1" w:legacySpace="0" w:legacyIndent="450"/>
      <w:lvlJc w:val="left"/>
      <w:pPr>
        <w:ind w:left="1350" w:hanging="450"/>
      </w:pPr>
    </w:lvl>
    <w:lvl w:ilvl="3">
      <w:start w:val="1"/>
      <w:numFmt w:val="upperLetter"/>
      <w:lvlText w:val="%4."/>
      <w:legacy w:legacy="1" w:legacySpace="0" w:legacyIndent="450"/>
      <w:lvlJc w:val="left"/>
      <w:pPr>
        <w:ind w:left="1800" w:hanging="450"/>
      </w:pPr>
    </w:lvl>
    <w:lvl w:ilvl="4">
      <w:start w:val="1"/>
      <w:numFmt w:val="upperLetter"/>
      <w:lvlText w:val="%5."/>
      <w:legacy w:legacy="1" w:legacySpace="0" w:legacyIndent="450"/>
      <w:lvlJc w:val="left"/>
      <w:pPr>
        <w:ind w:left="2250" w:hanging="450"/>
      </w:pPr>
    </w:lvl>
    <w:lvl w:ilvl="5">
      <w:start w:val="1"/>
      <w:numFmt w:val="upperLetter"/>
      <w:lvlText w:val="%6."/>
      <w:legacy w:legacy="1" w:legacySpace="0" w:legacyIndent="450"/>
      <w:lvlJc w:val="left"/>
      <w:pPr>
        <w:ind w:left="2700" w:hanging="450"/>
      </w:pPr>
    </w:lvl>
    <w:lvl w:ilvl="6">
      <w:start w:val="1"/>
      <w:numFmt w:val="upperLetter"/>
      <w:lvlText w:val="%7."/>
      <w:legacy w:legacy="1" w:legacySpace="0" w:legacyIndent="450"/>
      <w:lvlJc w:val="left"/>
      <w:pPr>
        <w:ind w:left="3150" w:hanging="450"/>
      </w:pPr>
    </w:lvl>
    <w:lvl w:ilvl="7">
      <w:start w:val="1"/>
      <w:numFmt w:val="upperLetter"/>
      <w:lvlText w:val="%8."/>
      <w:legacy w:legacy="1" w:legacySpace="0" w:legacyIndent="450"/>
      <w:lvlJc w:val="left"/>
      <w:pPr>
        <w:ind w:left="3600" w:hanging="450"/>
      </w:pPr>
    </w:lvl>
    <w:lvl w:ilvl="8">
      <w:start w:val="1"/>
      <w:numFmt w:val="lowerRoman"/>
      <w:lvlText w:val="%9"/>
      <w:legacy w:legacy="1" w:legacySpace="0" w:legacyIndent="450"/>
      <w:lvlJc w:val="left"/>
      <w:pPr>
        <w:ind w:left="4050" w:hanging="450"/>
      </w:pPr>
    </w:lvl>
  </w:abstractNum>
  <w:abstractNum w:abstractNumId="2" w15:restartNumberingAfterBreak="0">
    <w:nsid w:val="354D0FB0"/>
    <w:multiLevelType w:val="hybridMultilevel"/>
    <w:tmpl w:val="FE72F6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78C37C3"/>
    <w:multiLevelType w:val="hybridMultilevel"/>
    <w:tmpl w:val="D96EDDB2"/>
    <w:lvl w:ilvl="0" w:tplc="E55801C2">
      <w:start w:val="1"/>
      <w:numFmt w:val="decimal"/>
      <w:lvlText w:val="%1."/>
      <w:lvlJc w:val="left"/>
      <w:pPr>
        <w:tabs>
          <w:tab w:val="num" w:pos="1260"/>
        </w:tabs>
        <w:ind w:left="1260" w:hanging="360"/>
      </w:pPr>
      <w:rPr>
        <w:rFonts w:hint="default"/>
      </w:r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start w:val="1"/>
      <w:numFmt w:val="lowerRoman"/>
      <w:lvlText w:val="%9."/>
      <w:lvlJc w:val="right"/>
      <w:pPr>
        <w:tabs>
          <w:tab w:val="num" w:pos="7020"/>
        </w:tabs>
        <w:ind w:left="7020" w:hanging="180"/>
      </w:pPr>
    </w:lvl>
  </w:abstractNum>
  <w:abstractNum w:abstractNumId="4" w15:restartNumberingAfterBreak="0">
    <w:nsid w:val="3FE15B21"/>
    <w:multiLevelType w:val="multilevel"/>
    <w:tmpl w:val="92E85D04"/>
    <w:lvl w:ilvl="0">
      <w:start w:val="3"/>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5" w15:restartNumberingAfterBreak="0">
    <w:nsid w:val="4A514265"/>
    <w:multiLevelType w:val="hybridMultilevel"/>
    <w:tmpl w:val="D6F282B6"/>
    <w:lvl w:ilvl="0" w:tplc="6F4E5A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E9B47B7"/>
    <w:multiLevelType w:val="hybridMultilevel"/>
    <w:tmpl w:val="6E960CCE"/>
    <w:lvl w:ilvl="0" w:tplc="AF42FFC2">
      <w:start w:val="5"/>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E64911"/>
    <w:multiLevelType w:val="hybridMultilevel"/>
    <w:tmpl w:val="F89E6CCA"/>
    <w:lvl w:ilvl="0" w:tplc="75DAD196">
      <w:start w:val="10"/>
      <w:numFmt w:val="decimal"/>
      <w:lvlText w:val="%1."/>
      <w:lvlJc w:val="left"/>
      <w:pPr>
        <w:tabs>
          <w:tab w:val="num" w:pos="828"/>
        </w:tabs>
        <w:ind w:left="828" w:hanging="360"/>
      </w:pPr>
      <w:rPr>
        <w:rFonts w:hint="default"/>
      </w:rPr>
    </w:lvl>
    <w:lvl w:ilvl="1" w:tplc="04090019" w:tentative="1">
      <w:start w:val="1"/>
      <w:numFmt w:val="lowerLetter"/>
      <w:lvlText w:val="%2."/>
      <w:lvlJc w:val="left"/>
      <w:pPr>
        <w:tabs>
          <w:tab w:val="num" w:pos="1548"/>
        </w:tabs>
        <w:ind w:left="1548" w:hanging="360"/>
      </w:pPr>
    </w:lvl>
    <w:lvl w:ilvl="2" w:tplc="0409001B" w:tentative="1">
      <w:start w:val="1"/>
      <w:numFmt w:val="lowerRoman"/>
      <w:lvlText w:val="%3."/>
      <w:lvlJc w:val="right"/>
      <w:pPr>
        <w:tabs>
          <w:tab w:val="num" w:pos="2268"/>
        </w:tabs>
        <w:ind w:left="2268" w:hanging="180"/>
      </w:pPr>
    </w:lvl>
    <w:lvl w:ilvl="3" w:tplc="0409000F" w:tentative="1">
      <w:start w:val="1"/>
      <w:numFmt w:val="decimal"/>
      <w:lvlText w:val="%4."/>
      <w:lvlJc w:val="left"/>
      <w:pPr>
        <w:tabs>
          <w:tab w:val="num" w:pos="2988"/>
        </w:tabs>
        <w:ind w:left="2988" w:hanging="360"/>
      </w:pPr>
    </w:lvl>
    <w:lvl w:ilvl="4" w:tplc="04090019" w:tentative="1">
      <w:start w:val="1"/>
      <w:numFmt w:val="lowerLetter"/>
      <w:lvlText w:val="%5."/>
      <w:lvlJc w:val="left"/>
      <w:pPr>
        <w:tabs>
          <w:tab w:val="num" w:pos="3708"/>
        </w:tabs>
        <w:ind w:left="3708" w:hanging="360"/>
      </w:pPr>
    </w:lvl>
    <w:lvl w:ilvl="5" w:tplc="0409001B" w:tentative="1">
      <w:start w:val="1"/>
      <w:numFmt w:val="lowerRoman"/>
      <w:lvlText w:val="%6."/>
      <w:lvlJc w:val="right"/>
      <w:pPr>
        <w:tabs>
          <w:tab w:val="num" w:pos="4428"/>
        </w:tabs>
        <w:ind w:left="4428" w:hanging="180"/>
      </w:pPr>
    </w:lvl>
    <w:lvl w:ilvl="6" w:tplc="0409000F" w:tentative="1">
      <w:start w:val="1"/>
      <w:numFmt w:val="decimal"/>
      <w:lvlText w:val="%7."/>
      <w:lvlJc w:val="left"/>
      <w:pPr>
        <w:tabs>
          <w:tab w:val="num" w:pos="5148"/>
        </w:tabs>
        <w:ind w:left="5148" w:hanging="360"/>
      </w:pPr>
    </w:lvl>
    <w:lvl w:ilvl="7" w:tplc="04090019" w:tentative="1">
      <w:start w:val="1"/>
      <w:numFmt w:val="lowerLetter"/>
      <w:lvlText w:val="%8."/>
      <w:lvlJc w:val="left"/>
      <w:pPr>
        <w:tabs>
          <w:tab w:val="num" w:pos="5868"/>
        </w:tabs>
        <w:ind w:left="5868" w:hanging="360"/>
      </w:pPr>
    </w:lvl>
    <w:lvl w:ilvl="8" w:tplc="0409001B" w:tentative="1">
      <w:start w:val="1"/>
      <w:numFmt w:val="lowerRoman"/>
      <w:lvlText w:val="%9."/>
      <w:lvlJc w:val="right"/>
      <w:pPr>
        <w:tabs>
          <w:tab w:val="num" w:pos="6588"/>
        </w:tabs>
        <w:ind w:left="6588" w:hanging="180"/>
      </w:pPr>
    </w:lvl>
  </w:abstractNum>
  <w:abstractNum w:abstractNumId="8" w15:restartNumberingAfterBreak="0">
    <w:nsid w:val="58ED3A13"/>
    <w:multiLevelType w:val="hybridMultilevel"/>
    <w:tmpl w:val="C246A014"/>
    <w:lvl w:ilvl="0" w:tplc="04090001">
      <w:start w:val="2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BB7380B"/>
    <w:multiLevelType w:val="hybridMultilevel"/>
    <w:tmpl w:val="FC447A14"/>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CD63A6F"/>
    <w:multiLevelType w:val="hybridMultilevel"/>
    <w:tmpl w:val="D024A86C"/>
    <w:lvl w:ilvl="0" w:tplc="C6FE9A9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3BA1250"/>
    <w:multiLevelType w:val="hybridMultilevel"/>
    <w:tmpl w:val="4BD47AE2"/>
    <w:lvl w:ilvl="0" w:tplc="1C2AFC86">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D5F33B8"/>
    <w:multiLevelType w:val="hybridMultilevel"/>
    <w:tmpl w:val="372867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E562FFA"/>
    <w:multiLevelType w:val="multilevel"/>
    <w:tmpl w:val="6FB024A6"/>
    <w:lvl w:ilvl="0">
      <w:start w:val="3"/>
      <w:numFmt w:val="decimal"/>
      <w:lvlText w:val="%1."/>
      <w:legacy w:legacy="1" w:legacySpace="0" w:legacyIndent="1440"/>
      <w:lvlJc w:val="left"/>
      <w:pPr>
        <w:ind w:left="1440" w:hanging="1440"/>
      </w:pPr>
    </w:lvl>
    <w:lvl w:ilvl="1">
      <w:start w:val="1"/>
      <w:numFmt w:val="decimal"/>
      <w:lvlText w:val="%2."/>
      <w:legacy w:legacy="1" w:legacySpace="0" w:legacyIndent="1440"/>
      <w:lvlJc w:val="left"/>
      <w:pPr>
        <w:ind w:left="2880" w:hanging="1440"/>
      </w:pPr>
    </w:lvl>
    <w:lvl w:ilvl="2">
      <w:start w:val="1"/>
      <w:numFmt w:val="decimal"/>
      <w:lvlText w:val="%3."/>
      <w:legacy w:legacy="1" w:legacySpace="0" w:legacyIndent="1440"/>
      <w:lvlJc w:val="left"/>
      <w:pPr>
        <w:ind w:left="4320" w:hanging="1440"/>
      </w:pPr>
    </w:lvl>
    <w:lvl w:ilvl="3">
      <w:start w:val="1"/>
      <w:numFmt w:val="decimal"/>
      <w:lvlText w:val="%4."/>
      <w:legacy w:legacy="1" w:legacySpace="0" w:legacyIndent="1440"/>
      <w:lvlJc w:val="left"/>
      <w:pPr>
        <w:ind w:left="5760" w:hanging="1440"/>
      </w:pPr>
    </w:lvl>
    <w:lvl w:ilvl="4">
      <w:start w:val="1"/>
      <w:numFmt w:val="decimal"/>
      <w:lvlText w:val="%5."/>
      <w:legacy w:legacy="1" w:legacySpace="0" w:legacyIndent="1440"/>
      <w:lvlJc w:val="left"/>
      <w:pPr>
        <w:ind w:left="7200" w:hanging="1440"/>
      </w:pPr>
    </w:lvl>
    <w:lvl w:ilvl="5">
      <w:start w:val="1"/>
      <w:numFmt w:val="decimal"/>
      <w:lvlText w:val="%6."/>
      <w:legacy w:legacy="1" w:legacySpace="0" w:legacyIndent="1440"/>
      <w:lvlJc w:val="left"/>
      <w:pPr>
        <w:ind w:left="8640" w:hanging="1440"/>
      </w:pPr>
    </w:lvl>
    <w:lvl w:ilvl="6">
      <w:start w:val="1"/>
      <w:numFmt w:val="decimal"/>
      <w:lvlText w:val="%7."/>
      <w:legacy w:legacy="1" w:legacySpace="0" w:legacyIndent="1440"/>
      <w:lvlJc w:val="left"/>
      <w:pPr>
        <w:ind w:left="10080" w:hanging="1440"/>
      </w:pPr>
    </w:lvl>
    <w:lvl w:ilvl="7">
      <w:start w:val="1"/>
      <w:numFmt w:val="decimal"/>
      <w:lvlText w:val="%8."/>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14" w15:restartNumberingAfterBreak="0">
    <w:nsid w:val="72C24889"/>
    <w:multiLevelType w:val="hybridMultilevel"/>
    <w:tmpl w:val="F804584E"/>
    <w:lvl w:ilvl="0" w:tplc="F9B640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36B3231"/>
    <w:multiLevelType w:val="hybridMultilevel"/>
    <w:tmpl w:val="4D52CB64"/>
    <w:lvl w:ilvl="0" w:tplc="232CA3DA">
      <w:start w:val="8"/>
      <w:numFmt w:val="lowerLetter"/>
      <w:lvlText w:val="%1)"/>
      <w:lvlJc w:val="left"/>
      <w:pPr>
        <w:tabs>
          <w:tab w:val="num" w:pos="828"/>
        </w:tabs>
        <w:ind w:left="828" w:hanging="360"/>
      </w:pPr>
      <w:rPr>
        <w:rFonts w:hint="default"/>
      </w:rPr>
    </w:lvl>
    <w:lvl w:ilvl="1" w:tplc="04090019" w:tentative="1">
      <w:start w:val="1"/>
      <w:numFmt w:val="lowerLetter"/>
      <w:lvlText w:val="%2."/>
      <w:lvlJc w:val="left"/>
      <w:pPr>
        <w:tabs>
          <w:tab w:val="num" w:pos="1548"/>
        </w:tabs>
        <w:ind w:left="1548" w:hanging="360"/>
      </w:pPr>
    </w:lvl>
    <w:lvl w:ilvl="2" w:tplc="0409001B" w:tentative="1">
      <w:start w:val="1"/>
      <w:numFmt w:val="lowerRoman"/>
      <w:lvlText w:val="%3."/>
      <w:lvlJc w:val="right"/>
      <w:pPr>
        <w:tabs>
          <w:tab w:val="num" w:pos="2268"/>
        </w:tabs>
        <w:ind w:left="2268" w:hanging="180"/>
      </w:pPr>
    </w:lvl>
    <w:lvl w:ilvl="3" w:tplc="0409000F" w:tentative="1">
      <w:start w:val="1"/>
      <w:numFmt w:val="decimal"/>
      <w:lvlText w:val="%4."/>
      <w:lvlJc w:val="left"/>
      <w:pPr>
        <w:tabs>
          <w:tab w:val="num" w:pos="2988"/>
        </w:tabs>
        <w:ind w:left="2988" w:hanging="360"/>
      </w:pPr>
    </w:lvl>
    <w:lvl w:ilvl="4" w:tplc="04090019" w:tentative="1">
      <w:start w:val="1"/>
      <w:numFmt w:val="lowerLetter"/>
      <w:lvlText w:val="%5."/>
      <w:lvlJc w:val="left"/>
      <w:pPr>
        <w:tabs>
          <w:tab w:val="num" w:pos="3708"/>
        </w:tabs>
        <w:ind w:left="3708" w:hanging="360"/>
      </w:pPr>
    </w:lvl>
    <w:lvl w:ilvl="5" w:tplc="0409001B" w:tentative="1">
      <w:start w:val="1"/>
      <w:numFmt w:val="lowerRoman"/>
      <w:lvlText w:val="%6."/>
      <w:lvlJc w:val="right"/>
      <w:pPr>
        <w:tabs>
          <w:tab w:val="num" w:pos="4428"/>
        </w:tabs>
        <w:ind w:left="4428" w:hanging="180"/>
      </w:pPr>
    </w:lvl>
    <w:lvl w:ilvl="6" w:tplc="0409000F" w:tentative="1">
      <w:start w:val="1"/>
      <w:numFmt w:val="decimal"/>
      <w:lvlText w:val="%7."/>
      <w:lvlJc w:val="left"/>
      <w:pPr>
        <w:tabs>
          <w:tab w:val="num" w:pos="5148"/>
        </w:tabs>
        <w:ind w:left="5148" w:hanging="360"/>
      </w:pPr>
    </w:lvl>
    <w:lvl w:ilvl="7" w:tplc="04090019" w:tentative="1">
      <w:start w:val="1"/>
      <w:numFmt w:val="lowerLetter"/>
      <w:lvlText w:val="%8."/>
      <w:lvlJc w:val="left"/>
      <w:pPr>
        <w:tabs>
          <w:tab w:val="num" w:pos="5868"/>
        </w:tabs>
        <w:ind w:left="5868" w:hanging="360"/>
      </w:pPr>
    </w:lvl>
    <w:lvl w:ilvl="8" w:tplc="0409001B" w:tentative="1">
      <w:start w:val="1"/>
      <w:numFmt w:val="lowerRoman"/>
      <w:lvlText w:val="%9."/>
      <w:lvlJc w:val="right"/>
      <w:pPr>
        <w:tabs>
          <w:tab w:val="num" w:pos="6588"/>
        </w:tabs>
        <w:ind w:left="6588" w:hanging="180"/>
      </w:pPr>
    </w:lvl>
  </w:abstractNum>
  <w:abstractNum w:abstractNumId="16" w15:restartNumberingAfterBreak="0">
    <w:nsid w:val="7BAA0967"/>
    <w:multiLevelType w:val="hybridMultilevel"/>
    <w:tmpl w:val="0E10F9F2"/>
    <w:lvl w:ilvl="0" w:tplc="E81C0722">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897591737">
    <w:abstractNumId w:val="1"/>
  </w:num>
  <w:num w:numId="2" w16cid:durableId="1608387401">
    <w:abstractNumId w:val="13"/>
  </w:num>
  <w:num w:numId="3" w16cid:durableId="691609243">
    <w:abstractNumId w:val="4"/>
  </w:num>
  <w:num w:numId="4" w16cid:durableId="1211191223">
    <w:abstractNumId w:val="3"/>
  </w:num>
  <w:num w:numId="5" w16cid:durableId="2005014587">
    <w:abstractNumId w:val="9"/>
  </w:num>
  <w:num w:numId="6" w16cid:durableId="1120536360">
    <w:abstractNumId w:val="7"/>
  </w:num>
  <w:num w:numId="7" w16cid:durableId="1230116482">
    <w:abstractNumId w:val="15"/>
  </w:num>
  <w:num w:numId="8" w16cid:durableId="898251149">
    <w:abstractNumId w:val="16"/>
  </w:num>
  <w:num w:numId="9" w16cid:durableId="159394432">
    <w:abstractNumId w:val="6"/>
  </w:num>
  <w:num w:numId="10" w16cid:durableId="504247144">
    <w:abstractNumId w:val="12"/>
  </w:num>
  <w:num w:numId="11" w16cid:durableId="1539053050">
    <w:abstractNumId w:val="2"/>
  </w:num>
  <w:num w:numId="12" w16cid:durableId="1096172917">
    <w:abstractNumId w:val="8"/>
  </w:num>
  <w:num w:numId="13" w16cid:durableId="1753775671">
    <w:abstractNumId w:val="11"/>
  </w:num>
  <w:num w:numId="14" w16cid:durableId="1595630813">
    <w:abstractNumId w:val="10"/>
  </w:num>
  <w:num w:numId="15" w16cid:durableId="839810273">
    <w:abstractNumId w:val="5"/>
  </w:num>
  <w:num w:numId="16" w16cid:durableId="583996564">
    <w:abstractNumId w:val="0"/>
  </w:num>
  <w:num w:numId="17" w16cid:durableId="14859763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7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C32"/>
    <w:rsid w:val="0000051B"/>
    <w:rsid w:val="00000EA9"/>
    <w:rsid w:val="000056D7"/>
    <w:rsid w:val="00006B88"/>
    <w:rsid w:val="00006F0F"/>
    <w:rsid w:val="00007323"/>
    <w:rsid w:val="00010D4A"/>
    <w:rsid w:val="0001531F"/>
    <w:rsid w:val="00015A10"/>
    <w:rsid w:val="00016E9A"/>
    <w:rsid w:val="00016F74"/>
    <w:rsid w:val="000228A8"/>
    <w:rsid w:val="00022E27"/>
    <w:rsid w:val="00027314"/>
    <w:rsid w:val="00030886"/>
    <w:rsid w:val="000315C2"/>
    <w:rsid w:val="00031609"/>
    <w:rsid w:val="0003214F"/>
    <w:rsid w:val="00032DC3"/>
    <w:rsid w:val="00033768"/>
    <w:rsid w:val="00034548"/>
    <w:rsid w:val="00034982"/>
    <w:rsid w:val="0004241E"/>
    <w:rsid w:val="00045025"/>
    <w:rsid w:val="00046C33"/>
    <w:rsid w:val="000513DA"/>
    <w:rsid w:val="0005349C"/>
    <w:rsid w:val="00057B01"/>
    <w:rsid w:val="00061CE6"/>
    <w:rsid w:val="0006343E"/>
    <w:rsid w:val="00070A16"/>
    <w:rsid w:val="00071221"/>
    <w:rsid w:val="000716BF"/>
    <w:rsid w:val="00073773"/>
    <w:rsid w:val="00073781"/>
    <w:rsid w:val="00073916"/>
    <w:rsid w:val="00073D74"/>
    <w:rsid w:val="0007413A"/>
    <w:rsid w:val="00075BAD"/>
    <w:rsid w:val="00080013"/>
    <w:rsid w:val="00081E50"/>
    <w:rsid w:val="00082DCA"/>
    <w:rsid w:val="00084674"/>
    <w:rsid w:val="00084C14"/>
    <w:rsid w:val="00084C61"/>
    <w:rsid w:val="00085FE5"/>
    <w:rsid w:val="00086F88"/>
    <w:rsid w:val="000900E9"/>
    <w:rsid w:val="000929A0"/>
    <w:rsid w:val="00093403"/>
    <w:rsid w:val="00096DC1"/>
    <w:rsid w:val="00097528"/>
    <w:rsid w:val="000A34E8"/>
    <w:rsid w:val="000A41E6"/>
    <w:rsid w:val="000A6071"/>
    <w:rsid w:val="000A72EE"/>
    <w:rsid w:val="000A736F"/>
    <w:rsid w:val="000A73EC"/>
    <w:rsid w:val="000A7EEA"/>
    <w:rsid w:val="000B0377"/>
    <w:rsid w:val="000B11F4"/>
    <w:rsid w:val="000B13DE"/>
    <w:rsid w:val="000B34AF"/>
    <w:rsid w:val="000B49F7"/>
    <w:rsid w:val="000B60C9"/>
    <w:rsid w:val="000B7AB8"/>
    <w:rsid w:val="000D0695"/>
    <w:rsid w:val="000D0DBE"/>
    <w:rsid w:val="000D2231"/>
    <w:rsid w:val="000D2362"/>
    <w:rsid w:val="000D3001"/>
    <w:rsid w:val="000D5A3A"/>
    <w:rsid w:val="000D5F57"/>
    <w:rsid w:val="000D67A3"/>
    <w:rsid w:val="000D7A76"/>
    <w:rsid w:val="000E31CA"/>
    <w:rsid w:val="000E3788"/>
    <w:rsid w:val="000E39C0"/>
    <w:rsid w:val="000E6008"/>
    <w:rsid w:val="000F0C6F"/>
    <w:rsid w:val="000F184E"/>
    <w:rsid w:val="000F294C"/>
    <w:rsid w:val="000F2CE1"/>
    <w:rsid w:val="000F4147"/>
    <w:rsid w:val="000F6159"/>
    <w:rsid w:val="000F6DDE"/>
    <w:rsid w:val="000F7CD7"/>
    <w:rsid w:val="00102621"/>
    <w:rsid w:val="00102650"/>
    <w:rsid w:val="00103E8F"/>
    <w:rsid w:val="00104B08"/>
    <w:rsid w:val="00105088"/>
    <w:rsid w:val="001105B1"/>
    <w:rsid w:val="0011285F"/>
    <w:rsid w:val="0011445A"/>
    <w:rsid w:val="001155B7"/>
    <w:rsid w:val="0012131F"/>
    <w:rsid w:val="001249BE"/>
    <w:rsid w:val="0012552C"/>
    <w:rsid w:val="001256E1"/>
    <w:rsid w:val="001265FB"/>
    <w:rsid w:val="00130F55"/>
    <w:rsid w:val="00133E5F"/>
    <w:rsid w:val="00134D15"/>
    <w:rsid w:val="001365EC"/>
    <w:rsid w:val="00136C27"/>
    <w:rsid w:val="0014030E"/>
    <w:rsid w:val="00144090"/>
    <w:rsid w:val="00145A91"/>
    <w:rsid w:val="00151CE3"/>
    <w:rsid w:val="00152E4B"/>
    <w:rsid w:val="001555B7"/>
    <w:rsid w:val="0015647A"/>
    <w:rsid w:val="00157787"/>
    <w:rsid w:val="00160B26"/>
    <w:rsid w:val="00163616"/>
    <w:rsid w:val="00163CCE"/>
    <w:rsid w:val="00165280"/>
    <w:rsid w:val="001709C5"/>
    <w:rsid w:val="001720F2"/>
    <w:rsid w:val="00172209"/>
    <w:rsid w:val="00174446"/>
    <w:rsid w:val="00175275"/>
    <w:rsid w:val="001760C4"/>
    <w:rsid w:val="00177281"/>
    <w:rsid w:val="0018043C"/>
    <w:rsid w:val="00180C6E"/>
    <w:rsid w:val="00182C7B"/>
    <w:rsid w:val="001834F0"/>
    <w:rsid w:val="00190FFF"/>
    <w:rsid w:val="001918A2"/>
    <w:rsid w:val="00192DE1"/>
    <w:rsid w:val="00194F10"/>
    <w:rsid w:val="00195C80"/>
    <w:rsid w:val="00196C12"/>
    <w:rsid w:val="00196E02"/>
    <w:rsid w:val="00197E57"/>
    <w:rsid w:val="001A2618"/>
    <w:rsid w:val="001A5B45"/>
    <w:rsid w:val="001B5C90"/>
    <w:rsid w:val="001B5D44"/>
    <w:rsid w:val="001B7ACA"/>
    <w:rsid w:val="001B7B92"/>
    <w:rsid w:val="001C027C"/>
    <w:rsid w:val="001C2FD6"/>
    <w:rsid w:val="001D0E25"/>
    <w:rsid w:val="001D51B3"/>
    <w:rsid w:val="001D6022"/>
    <w:rsid w:val="001D6DDE"/>
    <w:rsid w:val="001E1FFA"/>
    <w:rsid w:val="001E37BE"/>
    <w:rsid w:val="001E37E8"/>
    <w:rsid w:val="001E54CF"/>
    <w:rsid w:val="001E7BD3"/>
    <w:rsid w:val="001F0000"/>
    <w:rsid w:val="001F096A"/>
    <w:rsid w:val="001F1977"/>
    <w:rsid w:val="001F1F96"/>
    <w:rsid w:val="001F2D0D"/>
    <w:rsid w:val="001F4408"/>
    <w:rsid w:val="001F46A8"/>
    <w:rsid w:val="001F4B0B"/>
    <w:rsid w:val="001F5055"/>
    <w:rsid w:val="001F73BE"/>
    <w:rsid w:val="001F7C7E"/>
    <w:rsid w:val="00200375"/>
    <w:rsid w:val="002005FF"/>
    <w:rsid w:val="002028A2"/>
    <w:rsid w:val="0020313B"/>
    <w:rsid w:val="00204A2C"/>
    <w:rsid w:val="0020640C"/>
    <w:rsid w:val="00206AD0"/>
    <w:rsid w:val="00206D58"/>
    <w:rsid w:val="002071D1"/>
    <w:rsid w:val="00207567"/>
    <w:rsid w:val="00212018"/>
    <w:rsid w:val="002122BC"/>
    <w:rsid w:val="00212E44"/>
    <w:rsid w:val="00215900"/>
    <w:rsid w:val="00215A53"/>
    <w:rsid w:val="00216D36"/>
    <w:rsid w:val="0022086D"/>
    <w:rsid w:val="00222B6C"/>
    <w:rsid w:val="00223DEA"/>
    <w:rsid w:val="00224094"/>
    <w:rsid w:val="00225AA7"/>
    <w:rsid w:val="00227390"/>
    <w:rsid w:val="00230259"/>
    <w:rsid w:val="0023177A"/>
    <w:rsid w:val="0023178E"/>
    <w:rsid w:val="0023412F"/>
    <w:rsid w:val="002351F9"/>
    <w:rsid w:val="0023666F"/>
    <w:rsid w:val="002367D5"/>
    <w:rsid w:val="00236881"/>
    <w:rsid w:val="0023696D"/>
    <w:rsid w:val="00236E82"/>
    <w:rsid w:val="002404CE"/>
    <w:rsid w:val="00241692"/>
    <w:rsid w:val="00241A7B"/>
    <w:rsid w:val="002420F1"/>
    <w:rsid w:val="00242378"/>
    <w:rsid w:val="002442CB"/>
    <w:rsid w:val="00244AD9"/>
    <w:rsid w:val="00245DF5"/>
    <w:rsid w:val="0024755D"/>
    <w:rsid w:val="002478C7"/>
    <w:rsid w:val="0024792F"/>
    <w:rsid w:val="00247CF8"/>
    <w:rsid w:val="002510D8"/>
    <w:rsid w:val="002518CD"/>
    <w:rsid w:val="00251CB4"/>
    <w:rsid w:val="002521F0"/>
    <w:rsid w:val="00253A3E"/>
    <w:rsid w:val="00254D27"/>
    <w:rsid w:val="002563EE"/>
    <w:rsid w:val="00256ACA"/>
    <w:rsid w:val="00257B7A"/>
    <w:rsid w:val="00260017"/>
    <w:rsid w:val="0026095E"/>
    <w:rsid w:val="00260CE4"/>
    <w:rsid w:val="00265345"/>
    <w:rsid w:val="002708C9"/>
    <w:rsid w:val="002755D9"/>
    <w:rsid w:val="00281EB5"/>
    <w:rsid w:val="00282A10"/>
    <w:rsid w:val="00286E71"/>
    <w:rsid w:val="002931DE"/>
    <w:rsid w:val="002937D8"/>
    <w:rsid w:val="0029798F"/>
    <w:rsid w:val="002A2043"/>
    <w:rsid w:val="002A572C"/>
    <w:rsid w:val="002A5B3A"/>
    <w:rsid w:val="002A6977"/>
    <w:rsid w:val="002A6CF8"/>
    <w:rsid w:val="002B0FF6"/>
    <w:rsid w:val="002B10A6"/>
    <w:rsid w:val="002B149A"/>
    <w:rsid w:val="002B3C52"/>
    <w:rsid w:val="002B4A34"/>
    <w:rsid w:val="002B4C41"/>
    <w:rsid w:val="002B7E8C"/>
    <w:rsid w:val="002C2541"/>
    <w:rsid w:val="002C4A9C"/>
    <w:rsid w:val="002C4B9E"/>
    <w:rsid w:val="002D0475"/>
    <w:rsid w:val="002D07A4"/>
    <w:rsid w:val="002D193A"/>
    <w:rsid w:val="002D30E8"/>
    <w:rsid w:val="002D37B4"/>
    <w:rsid w:val="002D39CF"/>
    <w:rsid w:val="002D3E23"/>
    <w:rsid w:val="002D3F05"/>
    <w:rsid w:val="002D6B6B"/>
    <w:rsid w:val="002D709F"/>
    <w:rsid w:val="002D735C"/>
    <w:rsid w:val="002D7C40"/>
    <w:rsid w:val="002E047E"/>
    <w:rsid w:val="002E1BCC"/>
    <w:rsid w:val="002E2781"/>
    <w:rsid w:val="002E52EE"/>
    <w:rsid w:val="002F01AE"/>
    <w:rsid w:val="002F09AA"/>
    <w:rsid w:val="002F1B84"/>
    <w:rsid w:val="002F6BC9"/>
    <w:rsid w:val="002F7960"/>
    <w:rsid w:val="002F7ADA"/>
    <w:rsid w:val="003029CE"/>
    <w:rsid w:val="00303A8F"/>
    <w:rsid w:val="00303BD2"/>
    <w:rsid w:val="0030481B"/>
    <w:rsid w:val="00305A7B"/>
    <w:rsid w:val="00311589"/>
    <w:rsid w:val="003121BB"/>
    <w:rsid w:val="0031362C"/>
    <w:rsid w:val="00315D80"/>
    <w:rsid w:val="0031719C"/>
    <w:rsid w:val="00321D61"/>
    <w:rsid w:val="00322636"/>
    <w:rsid w:val="003244EC"/>
    <w:rsid w:val="00324BB0"/>
    <w:rsid w:val="00327756"/>
    <w:rsid w:val="00330AA5"/>
    <w:rsid w:val="0033111F"/>
    <w:rsid w:val="003340C8"/>
    <w:rsid w:val="003345E3"/>
    <w:rsid w:val="00336A75"/>
    <w:rsid w:val="00336F40"/>
    <w:rsid w:val="003407B0"/>
    <w:rsid w:val="003416FC"/>
    <w:rsid w:val="00341F99"/>
    <w:rsid w:val="00342A33"/>
    <w:rsid w:val="00343552"/>
    <w:rsid w:val="00344369"/>
    <w:rsid w:val="00344B19"/>
    <w:rsid w:val="00346A5A"/>
    <w:rsid w:val="003507B8"/>
    <w:rsid w:val="0035352C"/>
    <w:rsid w:val="003552E4"/>
    <w:rsid w:val="00356110"/>
    <w:rsid w:val="00356A7F"/>
    <w:rsid w:val="00357B34"/>
    <w:rsid w:val="00360C84"/>
    <w:rsid w:val="00361271"/>
    <w:rsid w:val="003626D1"/>
    <w:rsid w:val="00363FB0"/>
    <w:rsid w:val="00365317"/>
    <w:rsid w:val="0037025F"/>
    <w:rsid w:val="003716DC"/>
    <w:rsid w:val="00371CFF"/>
    <w:rsid w:val="003729D6"/>
    <w:rsid w:val="003742E3"/>
    <w:rsid w:val="00381FAC"/>
    <w:rsid w:val="00384194"/>
    <w:rsid w:val="00384C3B"/>
    <w:rsid w:val="003875BA"/>
    <w:rsid w:val="003919E7"/>
    <w:rsid w:val="003943E2"/>
    <w:rsid w:val="00394893"/>
    <w:rsid w:val="00396638"/>
    <w:rsid w:val="003A3503"/>
    <w:rsid w:val="003A4B4F"/>
    <w:rsid w:val="003A73D2"/>
    <w:rsid w:val="003A7866"/>
    <w:rsid w:val="003A7CC1"/>
    <w:rsid w:val="003A7F5C"/>
    <w:rsid w:val="003B0381"/>
    <w:rsid w:val="003B14F6"/>
    <w:rsid w:val="003B2345"/>
    <w:rsid w:val="003B2BB6"/>
    <w:rsid w:val="003B3AB9"/>
    <w:rsid w:val="003B5327"/>
    <w:rsid w:val="003B6B1E"/>
    <w:rsid w:val="003C1BCD"/>
    <w:rsid w:val="003C32A0"/>
    <w:rsid w:val="003C3C37"/>
    <w:rsid w:val="003C4725"/>
    <w:rsid w:val="003C5DEE"/>
    <w:rsid w:val="003C669E"/>
    <w:rsid w:val="003D0E4D"/>
    <w:rsid w:val="003D2F74"/>
    <w:rsid w:val="003D5E45"/>
    <w:rsid w:val="003D7185"/>
    <w:rsid w:val="003D7BBD"/>
    <w:rsid w:val="003E1671"/>
    <w:rsid w:val="003E4E33"/>
    <w:rsid w:val="003E5BD6"/>
    <w:rsid w:val="003E6ADE"/>
    <w:rsid w:val="003E73D3"/>
    <w:rsid w:val="003F0E23"/>
    <w:rsid w:val="003F10C3"/>
    <w:rsid w:val="003F1DB3"/>
    <w:rsid w:val="003F33C5"/>
    <w:rsid w:val="003F47CB"/>
    <w:rsid w:val="003F4901"/>
    <w:rsid w:val="003F6602"/>
    <w:rsid w:val="003F6966"/>
    <w:rsid w:val="004032BF"/>
    <w:rsid w:val="0040650C"/>
    <w:rsid w:val="00407167"/>
    <w:rsid w:val="0041006A"/>
    <w:rsid w:val="004116DC"/>
    <w:rsid w:val="0041554E"/>
    <w:rsid w:val="00415ECC"/>
    <w:rsid w:val="00417EC9"/>
    <w:rsid w:val="00423A40"/>
    <w:rsid w:val="00424F14"/>
    <w:rsid w:val="00431328"/>
    <w:rsid w:val="004329C6"/>
    <w:rsid w:val="00434D76"/>
    <w:rsid w:val="00436698"/>
    <w:rsid w:val="00437B72"/>
    <w:rsid w:val="00441262"/>
    <w:rsid w:val="00442E17"/>
    <w:rsid w:val="00445ACE"/>
    <w:rsid w:val="0044720D"/>
    <w:rsid w:val="00452814"/>
    <w:rsid w:val="00453AF5"/>
    <w:rsid w:val="00455E19"/>
    <w:rsid w:val="004622C5"/>
    <w:rsid w:val="0046244D"/>
    <w:rsid w:val="00462CAA"/>
    <w:rsid w:val="00463AEB"/>
    <w:rsid w:val="00465767"/>
    <w:rsid w:val="00466399"/>
    <w:rsid w:val="00467F31"/>
    <w:rsid w:val="004725BC"/>
    <w:rsid w:val="004735E1"/>
    <w:rsid w:val="0047432E"/>
    <w:rsid w:val="0047460D"/>
    <w:rsid w:val="00474A49"/>
    <w:rsid w:val="00477851"/>
    <w:rsid w:val="00480E44"/>
    <w:rsid w:val="004828FE"/>
    <w:rsid w:val="004840AB"/>
    <w:rsid w:val="00485E8A"/>
    <w:rsid w:val="004867C0"/>
    <w:rsid w:val="0048683D"/>
    <w:rsid w:val="00486A24"/>
    <w:rsid w:val="00490474"/>
    <w:rsid w:val="0049203E"/>
    <w:rsid w:val="004935C7"/>
    <w:rsid w:val="00493904"/>
    <w:rsid w:val="00494973"/>
    <w:rsid w:val="00495993"/>
    <w:rsid w:val="004A027D"/>
    <w:rsid w:val="004A120C"/>
    <w:rsid w:val="004A1E9C"/>
    <w:rsid w:val="004A3458"/>
    <w:rsid w:val="004A3529"/>
    <w:rsid w:val="004A4938"/>
    <w:rsid w:val="004A5025"/>
    <w:rsid w:val="004A5E6B"/>
    <w:rsid w:val="004A62A6"/>
    <w:rsid w:val="004A64FD"/>
    <w:rsid w:val="004A6CDA"/>
    <w:rsid w:val="004A7009"/>
    <w:rsid w:val="004A7658"/>
    <w:rsid w:val="004B138E"/>
    <w:rsid w:val="004B381C"/>
    <w:rsid w:val="004B6E76"/>
    <w:rsid w:val="004B7398"/>
    <w:rsid w:val="004B7D9A"/>
    <w:rsid w:val="004C1F62"/>
    <w:rsid w:val="004C20F2"/>
    <w:rsid w:val="004C238F"/>
    <w:rsid w:val="004C465E"/>
    <w:rsid w:val="004C63FC"/>
    <w:rsid w:val="004C694F"/>
    <w:rsid w:val="004D06AA"/>
    <w:rsid w:val="004D47CD"/>
    <w:rsid w:val="004D4811"/>
    <w:rsid w:val="004D5A15"/>
    <w:rsid w:val="004D6179"/>
    <w:rsid w:val="004D759E"/>
    <w:rsid w:val="004E296F"/>
    <w:rsid w:val="004E2EEE"/>
    <w:rsid w:val="004E3C32"/>
    <w:rsid w:val="004E7233"/>
    <w:rsid w:val="004E762A"/>
    <w:rsid w:val="004F0833"/>
    <w:rsid w:val="004F3B98"/>
    <w:rsid w:val="004F4755"/>
    <w:rsid w:val="004F47D7"/>
    <w:rsid w:val="004F59A1"/>
    <w:rsid w:val="004F66D8"/>
    <w:rsid w:val="005009B6"/>
    <w:rsid w:val="00501135"/>
    <w:rsid w:val="00501291"/>
    <w:rsid w:val="00501B1A"/>
    <w:rsid w:val="005022F0"/>
    <w:rsid w:val="005023B9"/>
    <w:rsid w:val="00503357"/>
    <w:rsid w:val="00503D63"/>
    <w:rsid w:val="0050650A"/>
    <w:rsid w:val="00511472"/>
    <w:rsid w:val="00512DA4"/>
    <w:rsid w:val="0051302E"/>
    <w:rsid w:val="005140FD"/>
    <w:rsid w:val="005155EB"/>
    <w:rsid w:val="00520A7B"/>
    <w:rsid w:val="00521355"/>
    <w:rsid w:val="005215C8"/>
    <w:rsid w:val="00521BBA"/>
    <w:rsid w:val="00522604"/>
    <w:rsid w:val="00523815"/>
    <w:rsid w:val="005258A5"/>
    <w:rsid w:val="00525E1D"/>
    <w:rsid w:val="00530DB6"/>
    <w:rsid w:val="00531FE5"/>
    <w:rsid w:val="00532861"/>
    <w:rsid w:val="00533678"/>
    <w:rsid w:val="00534A19"/>
    <w:rsid w:val="0053585B"/>
    <w:rsid w:val="005362E6"/>
    <w:rsid w:val="005374C3"/>
    <w:rsid w:val="005375A4"/>
    <w:rsid w:val="005375BC"/>
    <w:rsid w:val="00537E88"/>
    <w:rsid w:val="005411D9"/>
    <w:rsid w:val="00545237"/>
    <w:rsid w:val="00547877"/>
    <w:rsid w:val="00547A0C"/>
    <w:rsid w:val="00550326"/>
    <w:rsid w:val="00550434"/>
    <w:rsid w:val="005514E3"/>
    <w:rsid w:val="00555C62"/>
    <w:rsid w:val="005601EA"/>
    <w:rsid w:val="00562028"/>
    <w:rsid w:val="00566FFF"/>
    <w:rsid w:val="005673BD"/>
    <w:rsid w:val="0057124A"/>
    <w:rsid w:val="005712B1"/>
    <w:rsid w:val="00571DB7"/>
    <w:rsid w:val="005738E8"/>
    <w:rsid w:val="00573BDC"/>
    <w:rsid w:val="00574E32"/>
    <w:rsid w:val="00575225"/>
    <w:rsid w:val="0057580B"/>
    <w:rsid w:val="00581132"/>
    <w:rsid w:val="00581A96"/>
    <w:rsid w:val="00582B75"/>
    <w:rsid w:val="00582CAE"/>
    <w:rsid w:val="005859BE"/>
    <w:rsid w:val="005925F9"/>
    <w:rsid w:val="005943B1"/>
    <w:rsid w:val="0059529A"/>
    <w:rsid w:val="00596416"/>
    <w:rsid w:val="00596512"/>
    <w:rsid w:val="005967DC"/>
    <w:rsid w:val="00596D54"/>
    <w:rsid w:val="005A0D95"/>
    <w:rsid w:val="005A28CD"/>
    <w:rsid w:val="005A47C1"/>
    <w:rsid w:val="005A49DC"/>
    <w:rsid w:val="005A60A4"/>
    <w:rsid w:val="005B05E9"/>
    <w:rsid w:val="005B55A9"/>
    <w:rsid w:val="005B6E94"/>
    <w:rsid w:val="005B6F1C"/>
    <w:rsid w:val="005C2EEE"/>
    <w:rsid w:val="005C3465"/>
    <w:rsid w:val="005C7F05"/>
    <w:rsid w:val="005D01EA"/>
    <w:rsid w:val="005D02C3"/>
    <w:rsid w:val="005D05F3"/>
    <w:rsid w:val="005D26B1"/>
    <w:rsid w:val="005D431D"/>
    <w:rsid w:val="005D436D"/>
    <w:rsid w:val="005D4A40"/>
    <w:rsid w:val="005D5984"/>
    <w:rsid w:val="005D6650"/>
    <w:rsid w:val="005D701D"/>
    <w:rsid w:val="005E4691"/>
    <w:rsid w:val="005E58A9"/>
    <w:rsid w:val="005E5EEF"/>
    <w:rsid w:val="005F2820"/>
    <w:rsid w:val="005F3701"/>
    <w:rsid w:val="005F3EAD"/>
    <w:rsid w:val="005F4FD5"/>
    <w:rsid w:val="005F707B"/>
    <w:rsid w:val="005F7351"/>
    <w:rsid w:val="005F75ED"/>
    <w:rsid w:val="005F7F83"/>
    <w:rsid w:val="006019CE"/>
    <w:rsid w:val="00601CC6"/>
    <w:rsid w:val="00602A6C"/>
    <w:rsid w:val="006060B2"/>
    <w:rsid w:val="00606515"/>
    <w:rsid w:val="006071F3"/>
    <w:rsid w:val="0061020D"/>
    <w:rsid w:val="00610E12"/>
    <w:rsid w:val="0061133F"/>
    <w:rsid w:val="00612839"/>
    <w:rsid w:val="006128EF"/>
    <w:rsid w:val="0061340F"/>
    <w:rsid w:val="0061345C"/>
    <w:rsid w:val="00615356"/>
    <w:rsid w:val="00615D9C"/>
    <w:rsid w:val="00622027"/>
    <w:rsid w:val="0062544D"/>
    <w:rsid w:val="00625960"/>
    <w:rsid w:val="006310CA"/>
    <w:rsid w:val="00631E6D"/>
    <w:rsid w:val="00632BE0"/>
    <w:rsid w:val="00633304"/>
    <w:rsid w:val="00641ED5"/>
    <w:rsid w:val="00642E8D"/>
    <w:rsid w:val="0065071A"/>
    <w:rsid w:val="00651897"/>
    <w:rsid w:val="006537C9"/>
    <w:rsid w:val="00653C8D"/>
    <w:rsid w:val="00654155"/>
    <w:rsid w:val="006547C2"/>
    <w:rsid w:val="00655F86"/>
    <w:rsid w:val="00661084"/>
    <w:rsid w:val="00667DEA"/>
    <w:rsid w:val="00670742"/>
    <w:rsid w:val="00672D6C"/>
    <w:rsid w:val="00672F76"/>
    <w:rsid w:val="00675433"/>
    <w:rsid w:val="00677925"/>
    <w:rsid w:val="0068013F"/>
    <w:rsid w:val="00680CF4"/>
    <w:rsid w:val="00680E4A"/>
    <w:rsid w:val="00681560"/>
    <w:rsid w:val="00682DB0"/>
    <w:rsid w:val="00683444"/>
    <w:rsid w:val="0068588A"/>
    <w:rsid w:val="006859E2"/>
    <w:rsid w:val="0068776B"/>
    <w:rsid w:val="00691014"/>
    <w:rsid w:val="00691593"/>
    <w:rsid w:val="00692208"/>
    <w:rsid w:val="006935E2"/>
    <w:rsid w:val="0069369F"/>
    <w:rsid w:val="00693D47"/>
    <w:rsid w:val="006942E3"/>
    <w:rsid w:val="00694C94"/>
    <w:rsid w:val="006A05E0"/>
    <w:rsid w:val="006A54EB"/>
    <w:rsid w:val="006A773B"/>
    <w:rsid w:val="006B0C21"/>
    <w:rsid w:val="006B1F81"/>
    <w:rsid w:val="006B38F2"/>
    <w:rsid w:val="006B4985"/>
    <w:rsid w:val="006B4C9E"/>
    <w:rsid w:val="006B4E46"/>
    <w:rsid w:val="006B5C52"/>
    <w:rsid w:val="006B7146"/>
    <w:rsid w:val="006B73B4"/>
    <w:rsid w:val="006C73CF"/>
    <w:rsid w:val="006D0904"/>
    <w:rsid w:val="006D0A98"/>
    <w:rsid w:val="006D1680"/>
    <w:rsid w:val="006D2CAB"/>
    <w:rsid w:val="006D2D24"/>
    <w:rsid w:val="006D4074"/>
    <w:rsid w:val="006D4991"/>
    <w:rsid w:val="006E06E8"/>
    <w:rsid w:val="006E437A"/>
    <w:rsid w:val="006E4A5D"/>
    <w:rsid w:val="006E5890"/>
    <w:rsid w:val="006E6674"/>
    <w:rsid w:val="006F413F"/>
    <w:rsid w:val="006F5A48"/>
    <w:rsid w:val="006F79F7"/>
    <w:rsid w:val="00700B74"/>
    <w:rsid w:val="00702CED"/>
    <w:rsid w:val="00702F27"/>
    <w:rsid w:val="007063C5"/>
    <w:rsid w:val="00707D6D"/>
    <w:rsid w:val="00710595"/>
    <w:rsid w:val="007168D7"/>
    <w:rsid w:val="007176D4"/>
    <w:rsid w:val="00717E27"/>
    <w:rsid w:val="00721A50"/>
    <w:rsid w:val="00721E1B"/>
    <w:rsid w:val="00726A11"/>
    <w:rsid w:val="00733294"/>
    <w:rsid w:val="00733446"/>
    <w:rsid w:val="007337BD"/>
    <w:rsid w:val="00734B0A"/>
    <w:rsid w:val="0073544F"/>
    <w:rsid w:val="007355DF"/>
    <w:rsid w:val="00735D7A"/>
    <w:rsid w:val="00736A39"/>
    <w:rsid w:val="00737F87"/>
    <w:rsid w:val="0074560A"/>
    <w:rsid w:val="00746EB5"/>
    <w:rsid w:val="00750898"/>
    <w:rsid w:val="007519DB"/>
    <w:rsid w:val="0075309E"/>
    <w:rsid w:val="0075336B"/>
    <w:rsid w:val="00753BB5"/>
    <w:rsid w:val="007615FD"/>
    <w:rsid w:val="007659D6"/>
    <w:rsid w:val="007659E1"/>
    <w:rsid w:val="00765C98"/>
    <w:rsid w:val="007700E5"/>
    <w:rsid w:val="00771E3C"/>
    <w:rsid w:val="007735BB"/>
    <w:rsid w:val="0078344F"/>
    <w:rsid w:val="007838B9"/>
    <w:rsid w:val="00784E60"/>
    <w:rsid w:val="007872DE"/>
    <w:rsid w:val="00787AB9"/>
    <w:rsid w:val="00790049"/>
    <w:rsid w:val="0079028B"/>
    <w:rsid w:val="00792DDD"/>
    <w:rsid w:val="007939B1"/>
    <w:rsid w:val="00794EBB"/>
    <w:rsid w:val="007A02DB"/>
    <w:rsid w:val="007A1217"/>
    <w:rsid w:val="007A39A2"/>
    <w:rsid w:val="007A4FBE"/>
    <w:rsid w:val="007B01B0"/>
    <w:rsid w:val="007B1F3E"/>
    <w:rsid w:val="007B23A9"/>
    <w:rsid w:val="007B4612"/>
    <w:rsid w:val="007B64CA"/>
    <w:rsid w:val="007C600B"/>
    <w:rsid w:val="007C606C"/>
    <w:rsid w:val="007D0A5B"/>
    <w:rsid w:val="007D307B"/>
    <w:rsid w:val="007D37F2"/>
    <w:rsid w:val="007D3C2E"/>
    <w:rsid w:val="007D677C"/>
    <w:rsid w:val="007D762F"/>
    <w:rsid w:val="007D7966"/>
    <w:rsid w:val="007E3E70"/>
    <w:rsid w:val="007E5074"/>
    <w:rsid w:val="007E55B4"/>
    <w:rsid w:val="007E6D8C"/>
    <w:rsid w:val="007F252D"/>
    <w:rsid w:val="007F2C4D"/>
    <w:rsid w:val="007F3323"/>
    <w:rsid w:val="007F3EC8"/>
    <w:rsid w:val="007F6F9E"/>
    <w:rsid w:val="007F7592"/>
    <w:rsid w:val="00801562"/>
    <w:rsid w:val="0080261F"/>
    <w:rsid w:val="0080279D"/>
    <w:rsid w:val="00802836"/>
    <w:rsid w:val="00802E5D"/>
    <w:rsid w:val="00805878"/>
    <w:rsid w:val="008061F1"/>
    <w:rsid w:val="008062CB"/>
    <w:rsid w:val="00807281"/>
    <w:rsid w:val="00811A66"/>
    <w:rsid w:val="00815917"/>
    <w:rsid w:val="00816DD2"/>
    <w:rsid w:val="00820EEB"/>
    <w:rsid w:val="00821A15"/>
    <w:rsid w:val="008231B8"/>
    <w:rsid w:val="00823D3B"/>
    <w:rsid w:val="00823F0A"/>
    <w:rsid w:val="00824BD7"/>
    <w:rsid w:val="00827542"/>
    <w:rsid w:val="00830C2F"/>
    <w:rsid w:val="00830E66"/>
    <w:rsid w:val="00831412"/>
    <w:rsid w:val="00834481"/>
    <w:rsid w:val="008421AA"/>
    <w:rsid w:val="00844E5A"/>
    <w:rsid w:val="00845312"/>
    <w:rsid w:val="00845B10"/>
    <w:rsid w:val="00845CA2"/>
    <w:rsid w:val="00846EA0"/>
    <w:rsid w:val="00851EF7"/>
    <w:rsid w:val="00853AE9"/>
    <w:rsid w:val="00853D80"/>
    <w:rsid w:val="008541DB"/>
    <w:rsid w:val="0085444D"/>
    <w:rsid w:val="00854F3C"/>
    <w:rsid w:val="008566A2"/>
    <w:rsid w:val="008566F8"/>
    <w:rsid w:val="008570B0"/>
    <w:rsid w:val="0085747A"/>
    <w:rsid w:val="00860DE6"/>
    <w:rsid w:val="00861771"/>
    <w:rsid w:val="008627DF"/>
    <w:rsid w:val="00867A13"/>
    <w:rsid w:val="00870405"/>
    <w:rsid w:val="00872086"/>
    <w:rsid w:val="008733D8"/>
    <w:rsid w:val="00874BAF"/>
    <w:rsid w:val="00875895"/>
    <w:rsid w:val="0088077D"/>
    <w:rsid w:val="00881CAA"/>
    <w:rsid w:val="008848C1"/>
    <w:rsid w:val="00885864"/>
    <w:rsid w:val="0088625D"/>
    <w:rsid w:val="008877C1"/>
    <w:rsid w:val="008950EB"/>
    <w:rsid w:val="008973E5"/>
    <w:rsid w:val="008A15AD"/>
    <w:rsid w:val="008A2629"/>
    <w:rsid w:val="008A45E5"/>
    <w:rsid w:val="008A707A"/>
    <w:rsid w:val="008B0181"/>
    <w:rsid w:val="008B3E52"/>
    <w:rsid w:val="008C1109"/>
    <w:rsid w:val="008C6FE5"/>
    <w:rsid w:val="008D57A3"/>
    <w:rsid w:val="008E0E8A"/>
    <w:rsid w:val="008E274E"/>
    <w:rsid w:val="008E2EDE"/>
    <w:rsid w:val="008F0292"/>
    <w:rsid w:val="008F067C"/>
    <w:rsid w:val="008F5481"/>
    <w:rsid w:val="008F56D9"/>
    <w:rsid w:val="008F59A1"/>
    <w:rsid w:val="0090023C"/>
    <w:rsid w:val="0090277C"/>
    <w:rsid w:val="009033B6"/>
    <w:rsid w:val="00906180"/>
    <w:rsid w:val="00907F84"/>
    <w:rsid w:val="00910566"/>
    <w:rsid w:val="00914AF5"/>
    <w:rsid w:val="009158F3"/>
    <w:rsid w:val="00915D2E"/>
    <w:rsid w:val="00923DA5"/>
    <w:rsid w:val="009259A0"/>
    <w:rsid w:val="009259BB"/>
    <w:rsid w:val="0093135A"/>
    <w:rsid w:val="00931727"/>
    <w:rsid w:val="00933184"/>
    <w:rsid w:val="00933F7A"/>
    <w:rsid w:val="00935642"/>
    <w:rsid w:val="009402D3"/>
    <w:rsid w:val="0094107D"/>
    <w:rsid w:val="0094360B"/>
    <w:rsid w:val="00943B4C"/>
    <w:rsid w:val="00943F29"/>
    <w:rsid w:val="009452E9"/>
    <w:rsid w:val="00946D0E"/>
    <w:rsid w:val="00951876"/>
    <w:rsid w:val="00953418"/>
    <w:rsid w:val="00954CF2"/>
    <w:rsid w:val="00954FF7"/>
    <w:rsid w:val="00957DA9"/>
    <w:rsid w:val="00957E63"/>
    <w:rsid w:val="009618CE"/>
    <w:rsid w:val="00963367"/>
    <w:rsid w:val="009633C2"/>
    <w:rsid w:val="00965428"/>
    <w:rsid w:val="00966CDE"/>
    <w:rsid w:val="009721E1"/>
    <w:rsid w:val="00974DCB"/>
    <w:rsid w:val="009754FC"/>
    <w:rsid w:val="00975975"/>
    <w:rsid w:val="009762D2"/>
    <w:rsid w:val="0097709F"/>
    <w:rsid w:val="0097740B"/>
    <w:rsid w:val="009774E6"/>
    <w:rsid w:val="00983155"/>
    <w:rsid w:val="009839A5"/>
    <w:rsid w:val="009849AA"/>
    <w:rsid w:val="009850AC"/>
    <w:rsid w:val="009852B0"/>
    <w:rsid w:val="0098582F"/>
    <w:rsid w:val="00991100"/>
    <w:rsid w:val="00993C57"/>
    <w:rsid w:val="00994E05"/>
    <w:rsid w:val="00995F87"/>
    <w:rsid w:val="009963DA"/>
    <w:rsid w:val="009969E6"/>
    <w:rsid w:val="009A026A"/>
    <w:rsid w:val="009A0458"/>
    <w:rsid w:val="009A0DCB"/>
    <w:rsid w:val="009A1083"/>
    <w:rsid w:val="009A1ADE"/>
    <w:rsid w:val="009A25C9"/>
    <w:rsid w:val="009A346E"/>
    <w:rsid w:val="009A4448"/>
    <w:rsid w:val="009A5596"/>
    <w:rsid w:val="009B0EA2"/>
    <w:rsid w:val="009B12B9"/>
    <w:rsid w:val="009B5676"/>
    <w:rsid w:val="009B7FF7"/>
    <w:rsid w:val="009C0CB6"/>
    <w:rsid w:val="009C0E40"/>
    <w:rsid w:val="009C3197"/>
    <w:rsid w:val="009C602E"/>
    <w:rsid w:val="009C7384"/>
    <w:rsid w:val="009C7533"/>
    <w:rsid w:val="009D0979"/>
    <w:rsid w:val="009D0CE1"/>
    <w:rsid w:val="009D1C34"/>
    <w:rsid w:val="009D5207"/>
    <w:rsid w:val="009D535F"/>
    <w:rsid w:val="009D576F"/>
    <w:rsid w:val="009D6E01"/>
    <w:rsid w:val="009D7110"/>
    <w:rsid w:val="009D780F"/>
    <w:rsid w:val="009D7DAB"/>
    <w:rsid w:val="009E0B69"/>
    <w:rsid w:val="009E2E80"/>
    <w:rsid w:val="009E3E82"/>
    <w:rsid w:val="009E67C1"/>
    <w:rsid w:val="009E6C52"/>
    <w:rsid w:val="009E71CD"/>
    <w:rsid w:val="009E7772"/>
    <w:rsid w:val="009F0A15"/>
    <w:rsid w:val="009F0BA9"/>
    <w:rsid w:val="009F1AD3"/>
    <w:rsid w:val="009F58BD"/>
    <w:rsid w:val="009F773D"/>
    <w:rsid w:val="00A003B0"/>
    <w:rsid w:val="00A00C59"/>
    <w:rsid w:val="00A019C1"/>
    <w:rsid w:val="00A0255C"/>
    <w:rsid w:val="00A0275D"/>
    <w:rsid w:val="00A03AA1"/>
    <w:rsid w:val="00A03C24"/>
    <w:rsid w:val="00A045EB"/>
    <w:rsid w:val="00A050D7"/>
    <w:rsid w:val="00A05FCF"/>
    <w:rsid w:val="00A06F55"/>
    <w:rsid w:val="00A10A92"/>
    <w:rsid w:val="00A11015"/>
    <w:rsid w:val="00A12233"/>
    <w:rsid w:val="00A1593C"/>
    <w:rsid w:val="00A213E7"/>
    <w:rsid w:val="00A21FAD"/>
    <w:rsid w:val="00A22C9B"/>
    <w:rsid w:val="00A24DC6"/>
    <w:rsid w:val="00A24F52"/>
    <w:rsid w:val="00A25216"/>
    <w:rsid w:val="00A26DC3"/>
    <w:rsid w:val="00A2785B"/>
    <w:rsid w:val="00A27DAE"/>
    <w:rsid w:val="00A31B5E"/>
    <w:rsid w:val="00A323A0"/>
    <w:rsid w:val="00A32E24"/>
    <w:rsid w:val="00A333E7"/>
    <w:rsid w:val="00A375C3"/>
    <w:rsid w:val="00A403E5"/>
    <w:rsid w:val="00A414EB"/>
    <w:rsid w:val="00A42D2E"/>
    <w:rsid w:val="00A432FF"/>
    <w:rsid w:val="00A44D40"/>
    <w:rsid w:val="00A46915"/>
    <w:rsid w:val="00A477DD"/>
    <w:rsid w:val="00A511DD"/>
    <w:rsid w:val="00A5171C"/>
    <w:rsid w:val="00A539DB"/>
    <w:rsid w:val="00A55294"/>
    <w:rsid w:val="00A56D95"/>
    <w:rsid w:val="00A61165"/>
    <w:rsid w:val="00A61680"/>
    <w:rsid w:val="00A61DAB"/>
    <w:rsid w:val="00A63FA7"/>
    <w:rsid w:val="00A64CAE"/>
    <w:rsid w:val="00A65675"/>
    <w:rsid w:val="00A66A84"/>
    <w:rsid w:val="00A66A8C"/>
    <w:rsid w:val="00A671CC"/>
    <w:rsid w:val="00A723D6"/>
    <w:rsid w:val="00A74B4A"/>
    <w:rsid w:val="00A8087C"/>
    <w:rsid w:val="00A80BC9"/>
    <w:rsid w:val="00A8369C"/>
    <w:rsid w:val="00A841D5"/>
    <w:rsid w:val="00A86AC1"/>
    <w:rsid w:val="00A91495"/>
    <w:rsid w:val="00A935E5"/>
    <w:rsid w:val="00A93B3C"/>
    <w:rsid w:val="00A93D42"/>
    <w:rsid w:val="00A95201"/>
    <w:rsid w:val="00A95394"/>
    <w:rsid w:val="00A95E65"/>
    <w:rsid w:val="00A97875"/>
    <w:rsid w:val="00AA020A"/>
    <w:rsid w:val="00AA563B"/>
    <w:rsid w:val="00AA56B0"/>
    <w:rsid w:val="00AA5A1F"/>
    <w:rsid w:val="00AA623B"/>
    <w:rsid w:val="00AA6AC3"/>
    <w:rsid w:val="00AA6B11"/>
    <w:rsid w:val="00AA71C5"/>
    <w:rsid w:val="00AB1507"/>
    <w:rsid w:val="00AB30CA"/>
    <w:rsid w:val="00AB7E6E"/>
    <w:rsid w:val="00AC2E8A"/>
    <w:rsid w:val="00AC4F86"/>
    <w:rsid w:val="00AC5A83"/>
    <w:rsid w:val="00AC6AAC"/>
    <w:rsid w:val="00AC784E"/>
    <w:rsid w:val="00AD2932"/>
    <w:rsid w:val="00AD2A1C"/>
    <w:rsid w:val="00AD2F91"/>
    <w:rsid w:val="00AD3AEF"/>
    <w:rsid w:val="00AD48FA"/>
    <w:rsid w:val="00AD5443"/>
    <w:rsid w:val="00AD66C5"/>
    <w:rsid w:val="00AD7839"/>
    <w:rsid w:val="00AD7C7B"/>
    <w:rsid w:val="00AE0ACE"/>
    <w:rsid w:val="00AE1843"/>
    <w:rsid w:val="00AE40D6"/>
    <w:rsid w:val="00AE629C"/>
    <w:rsid w:val="00AE69DC"/>
    <w:rsid w:val="00AF3281"/>
    <w:rsid w:val="00AF338B"/>
    <w:rsid w:val="00AF344D"/>
    <w:rsid w:val="00AF7D0D"/>
    <w:rsid w:val="00B029D0"/>
    <w:rsid w:val="00B03B32"/>
    <w:rsid w:val="00B05495"/>
    <w:rsid w:val="00B061A4"/>
    <w:rsid w:val="00B069ED"/>
    <w:rsid w:val="00B10F05"/>
    <w:rsid w:val="00B1183D"/>
    <w:rsid w:val="00B1184E"/>
    <w:rsid w:val="00B12430"/>
    <w:rsid w:val="00B124F8"/>
    <w:rsid w:val="00B1488E"/>
    <w:rsid w:val="00B14D04"/>
    <w:rsid w:val="00B15968"/>
    <w:rsid w:val="00B21784"/>
    <w:rsid w:val="00B242B7"/>
    <w:rsid w:val="00B243F2"/>
    <w:rsid w:val="00B25B84"/>
    <w:rsid w:val="00B26E55"/>
    <w:rsid w:val="00B271F3"/>
    <w:rsid w:val="00B277E4"/>
    <w:rsid w:val="00B27C4F"/>
    <w:rsid w:val="00B31962"/>
    <w:rsid w:val="00B32822"/>
    <w:rsid w:val="00B32A35"/>
    <w:rsid w:val="00B33779"/>
    <w:rsid w:val="00B35F21"/>
    <w:rsid w:val="00B363C0"/>
    <w:rsid w:val="00B3791E"/>
    <w:rsid w:val="00B41A36"/>
    <w:rsid w:val="00B423C9"/>
    <w:rsid w:val="00B42EE2"/>
    <w:rsid w:val="00B479FD"/>
    <w:rsid w:val="00B50F6B"/>
    <w:rsid w:val="00B512A0"/>
    <w:rsid w:val="00B52C80"/>
    <w:rsid w:val="00B53909"/>
    <w:rsid w:val="00B54C66"/>
    <w:rsid w:val="00B55916"/>
    <w:rsid w:val="00B6066A"/>
    <w:rsid w:val="00B606B1"/>
    <w:rsid w:val="00B60856"/>
    <w:rsid w:val="00B60E02"/>
    <w:rsid w:val="00B61484"/>
    <w:rsid w:val="00B61EAA"/>
    <w:rsid w:val="00B623A2"/>
    <w:rsid w:val="00B62926"/>
    <w:rsid w:val="00B63E02"/>
    <w:rsid w:val="00B65533"/>
    <w:rsid w:val="00B6612B"/>
    <w:rsid w:val="00B6663B"/>
    <w:rsid w:val="00B6671C"/>
    <w:rsid w:val="00B7207A"/>
    <w:rsid w:val="00B72892"/>
    <w:rsid w:val="00B74C79"/>
    <w:rsid w:val="00B75C87"/>
    <w:rsid w:val="00B77226"/>
    <w:rsid w:val="00B803E6"/>
    <w:rsid w:val="00B81F83"/>
    <w:rsid w:val="00B82E22"/>
    <w:rsid w:val="00B852EA"/>
    <w:rsid w:val="00B90F64"/>
    <w:rsid w:val="00B91557"/>
    <w:rsid w:val="00B929CF"/>
    <w:rsid w:val="00B92BEC"/>
    <w:rsid w:val="00BA08CB"/>
    <w:rsid w:val="00BA3C54"/>
    <w:rsid w:val="00BA56F7"/>
    <w:rsid w:val="00BA6D63"/>
    <w:rsid w:val="00BB0A55"/>
    <w:rsid w:val="00BB0F02"/>
    <w:rsid w:val="00BB3CA6"/>
    <w:rsid w:val="00BB4855"/>
    <w:rsid w:val="00BB5739"/>
    <w:rsid w:val="00BB5A91"/>
    <w:rsid w:val="00BB65BA"/>
    <w:rsid w:val="00BB68F3"/>
    <w:rsid w:val="00BB7040"/>
    <w:rsid w:val="00BB70BC"/>
    <w:rsid w:val="00BB7FE2"/>
    <w:rsid w:val="00BC1597"/>
    <w:rsid w:val="00BC1F18"/>
    <w:rsid w:val="00BC3C43"/>
    <w:rsid w:val="00BC6D6A"/>
    <w:rsid w:val="00BD1114"/>
    <w:rsid w:val="00BD1BD1"/>
    <w:rsid w:val="00BD403E"/>
    <w:rsid w:val="00BD4B3A"/>
    <w:rsid w:val="00BD5E6A"/>
    <w:rsid w:val="00BE07FE"/>
    <w:rsid w:val="00BE1336"/>
    <w:rsid w:val="00BE47E6"/>
    <w:rsid w:val="00BE584F"/>
    <w:rsid w:val="00BE6702"/>
    <w:rsid w:val="00BF3B31"/>
    <w:rsid w:val="00BF527F"/>
    <w:rsid w:val="00BF65A4"/>
    <w:rsid w:val="00BF6E0E"/>
    <w:rsid w:val="00C00E2B"/>
    <w:rsid w:val="00C01470"/>
    <w:rsid w:val="00C0296B"/>
    <w:rsid w:val="00C03D76"/>
    <w:rsid w:val="00C058D5"/>
    <w:rsid w:val="00C1622B"/>
    <w:rsid w:val="00C166BB"/>
    <w:rsid w:val="00C166E4"/>
    <w:rsid w:val="00C16D21"/>
    <w:rsid w:val="00C16FAB"/>
    <w:rsid w:val="00C21B11"/>
    <w:rsid w:val="00C21EC9"/>
    <w:rsid w:val="00C22660"/>
    <w:rsid w:val="00C24CE5"/>
    <w:rsid w:val="00C26EC3"/>
    <w:rsid w:val="00C270FC"/>
    <w:rsid w:val="00C2777B"/>
    <w:rsid w:val="00C31474"/>
    <w:rsid w:val="00C35E00"/>
    <w:rsid w:val="00C373B8"/>
    <w:rsid w:val="00C41DAD"/>
    <w:rsid w:val="00C44132"/>
    <w:rsid w:val="00C4440A"/>
    <w:rsid w:val="00C507E4"/>
    <w:rsid w:val="00C521F4"/>
    <w:rsid w:val="00C52438"/>
    <w:rsid w:val="00C52DDC"/>
    <w:rsid w:val="00C53FFD"/>
    <w:rsid w:val="00C540CA"/>
    <w:rsid w:val="00C54A5B"/>
    <w:rsid w:val="00C5624E"/>
    <w:rsid w:val="00C567A1"/>
    <w:rsid w:val="00C60FE6"/>
    <w:rsid w:val="00C6200A"/>
    <w:rsid w:val="00C620C0"/>
    <w:rsid w:val="00C62DC0"/>
    <w:rsid w:val="00C644AF"/>
    <w:rsid w:val="00C65839"/>
    <w:rsid w:val="00C65D48"/>
    <w:rsid w:val="00C6786A"/>
    <w:rsid w:val="00C70543"/>
    <w:rsid w:val="00C70ECA"/>
    <w:rsid w:val="00C71901"/>
    <w:rsid w:val="00C71993"/>
    <w:rsid w:val="00C71AF3"/>
    <w:rsid w:val="00C73284"/>
    <w:rsid w:val="00C73B54"/>
    <w:rsid w:val="00C7424E"/>
    <w:rsid w:val="00C74CDE"/>
    <w:rsid w:val="00C74DF6"/>
    <w:rsid w:val="00C75A2E"/>
    <w:rsid w:val="00C775C4"/>
    <w:rsid w:val="00C90783"/>
    <w:rsid w:val="00C909DE"/>
    <w:rsid w:val="00C91E0C"/>
    <w:rsid w:val="00C9290D"/>
    <w:rsid w:val="00C937B5"/>
    <w:rsid w:val="00C95D71"/>
    <w:rsid w:val="00CA0334"/>
    <w:rsid w:val="00CA0D3F"/>
    <w:rsid w:val="00CA1A2C"/>
    <w:rsid w:val="00CA5BCD"/>
    <w:rsid w:val="00CB3F8E"/>
    <w:rsid w:val="00CB41D8"/>
    <w:rsid w:val="00CB44AE"/>
    <w:rsid w:val="00CB590F"/>
    <w:rsid w:val="00CB6120"/>
    <w:rsid w:val="00CC576B"/>
    <w:rsid w:val="00CC5AB3"/>
    <w:rsid w:val="00CC68D8"/>
    <w:rsid w:val="00CC6CC3"/>
    <w:rsid w:val="00CC75EE"/>
    <w:rsid w:val="00CD0FFB"/>
    <w:rsid w:val="00CD12B1"/>
    <w:rsid w:val="00CD2A80"/>
    <w:rsid w:val="00CD7743"/>
    <w:rsid w:val="00CD7DCC"/>
    <w:rsid w:val="00CE1364"/>
    <w:rsid w:val="00CE1B59"/>
    <w:rsid w:val="00CE2317"/>
    <w:rsid w:val="00CE47F3"/>
    <w:rsid w:val="00CE51C6"/>
    <w:rsid w:val="00CE5810"/>
    <w:rsid w:val="00CE61A1"/>
    <w:rsid w:val="00CF02EA"/>
    <w:rsid w:val="00CF156B"/>
    <w:rsid w:val="00CF1E1D"/>
    <w:rsid w:val="00CF1EFD"/>
    <w:rsid w:val="00CF2B44"/>
    <w:rsid w:val="00CF62A6"/>
    <w:rsid w:val="00D002A0"/>
    <w:rsid w:val="00D00A61"/>
    <w:rsid w:val="00D011E1"/>
    <w:rsid w:val="00D01836"/>
    <w:rsid w:val="00D024F1"/>
    <w:rsid w:val="00D02870"/>
    <w:rsid w:val="00D02DFC"/>
    <w:rsid w:val="00D04FBF"/>
    <w:rsid w:val="00D052A1"/>
    <w:rsid w:val="00D055D1"/>
    <w:rsid w:val="00D05DBB"/>
    <w:rsid w:val="00D1028F"/>
    <w:rsid w:val="00D10F25"/>
    <w:rsid w:val="00D13180"/>
    <w:rsid w:val="00D137C3"/>
    <w:rsid w:val="00D27D29"/>
    <w:rsid w:val="00D27DBD"/>
    <w:rsid w:val="00D30D6C"/>
    <w:rsid w:val="00D31775"/>
    <w:rsid w:val="00D321B6"/>
    <w:rsid w:val="00D3294D"/>
    <w:rsid w:val="00D34A62"/>
    <w:rsid w:val="00D35103"/>
    <w:rsid w:val="00D35573"/>
    <w:rsid w:val="00D35669"/>
    <w:rsid w:val="00D414BF"/>
    <w:rsid w:val="00D45FD5"/>
    <w:rsid w:val="00D47689"/>
    <w:rsid w:val="00D5221C"/>
    <w:rsid w:val="00D55980"/>
    <w:rsid w:val="00D575CE"/>
    <w:rsid w:val="00D5784D"/>
    <w:rsid w:val="00D61149"/>
    <w:rsid w:val="00D623A3"/>
    <w:rsid w:val="00D624A3"/>
    <w:rsid w:val="00D66878"/>
    <w:rsid w:val="00D66A65"/>
    <w:rsid w:val="00D66D35"/>
    <w:rsid w:val="00D67BEC"/>
    <w:rsid w:val="00D71725"/>
    <w:rsid w:val="00D725B4"/>
    <w:rsid w:val="00D7292B"/>
    <w:rsid w:val="00D72F16"/>
    <w:rsid w:val="00D73458"/>
    <w:rsid w:val="00D73CC0"/>
    <w:rsid w:val="00D76D25"/>
    <w:rsid w:val="00D8119F"/>
    <w:rsid w:val="00D819E1"/>
    <w:rsid w:val="00D8252A"/>
    <w:rsid w:val="00D83C02"/>
    <w:rsid w:val="00D83EEC"/>
    <w:rsid w:val="00D865C3"/>
    <w:rsid w:val="00D86946"/>
    <w:rsid w:val="00D8708E"/>
    <w:rsid w:val="00D87B7D"/>
    <w:rsid w:val="00D92AFC"/>
    <w:rsid w:val="00D9414E"/>
    <w:rsid w:val="00DA109E"/>
    <w:rsid w:val="00DA1AC7"/>
    <w:rsid w:val="00DA2666"/>
    <w:rsid w:val="00DA3F96"/>
    <w:rsid w:val="00DA41E5"/>
    <w:rsid w:val="00DA485F"/>
    <w:rsid w:val="00DA5039"/>
    <w:rsid w:val="00DA59EA"/>
    <w:rsid w:val="00DA64D1"/>
    <w:rsid w:val="00DB0153"/>
    <w:rsid w:val="00DB2F6F"/>
    <w:rsid w:val="00DB3704"/>
    <w:rsid w:val="00DB559A"/>
    <w:rsid w:val="00DB5E91"/>
    <w:rsid w:val="00DB7D12"/>
    <w:rsid w:val="00DC0A7D"/>
    <w:rsid w:val="00DC0F4D"/>
    <w:rsid w:val="00DC1EDE"/>
    <w:rsid w:val="00DC2D78"/>
    <w:rsid w:val="00DC3833"/>
    <w:rsid w:val="00DC3E38"/>
    <w:rsid w:val="00DC4482"/>
    <w:rsid w:val="00DC50C0"/>
    <w:rsid w:val="00DC59F3"/>
    <w:rsid w:val="00DC7139"/>
    <w:rsid w:val="00DC7268"/>
    <w:rsid w:val="00DC7272"/>
    <w:rsid w:val="00DD16B9"/>
    <w:rsid w:val="00DD1972"/>
    <w:rsid w:val="00DD25E0"/>
    <w:rsid w:val="00DD2764"/>
    <w:rsid w:val="00DD5C38"/>
    <w:rsid w:val="00DD7230"/>
    <w:rsid w:val="00DD73BD"/>
    <w:rsid w:val="00DE3943"/>
    <w:rsid w:val="00DE59D5"/>
    <w:rsid w:val="00DE748B"/>
    <w:rsid w:val="00DF0C7B"/>
    <w:rsid w:val="00DF0FEA"/>
    <w:rsid w:val="00DF4918"/>
    <w:rsid w:val="00DF543B"/>
    <w:rsid w:val="00DF7A82"/>
    <w:rsid w:val="00DF7A91"/>
    <w:rsid w:val="00DF7C28"/>
    <w:rsid w:val="00E01149"/>
    <w:rsid w:val="00E03EB3"/>
    <w:rsid w:val="00E10E1E"/>
    <w:rsid w:val="00E111A7"/>
    <w:rsid w:val="00E128EA"/>
    <w:rsid w:val="00E14C02"/>
    <w:rsid w:val="00E16300"/>
    <w:rsid w:val="00E16383"/>
    <w:rsid w:val="00E200CA"/>
    <w:rsid w:val="00E20CB9"/>
    <w:rsid w:val="00E20E22"/>
    <w:rsid w:val="00E249F2"/>
    <w:rsid w:val="00E2575A"/>
    <w:rsid w:val="00E30988"/>
    <w:rsid w:val="00E31490"/>
    <w:rsid w:val="00E31AA3"/>
    <w:rsid w:val="00E31C83"/>
    <w:rsid w:val="00E33833"/>
    <w:rsid w:val="00E33AFA"/>
    <w:rsid w:val="00E33CA3"/>
    <w:rsid w:val="00E350BE"/>
    <w:rsid w:val="00E359BC"/>
    <w:rsid w:val="00E378F2"/>
    <w:rsid w:val="00E40514"/>
    <w:rsid w:val="00E441A6"/>
    <w:rsid w:val="00E445A8"/>
    <w:rsid w:val="00E44828"/>
    <w:rsid w:val="00E44F6A"/>
    <w:rsid w:val="00E44FB3"/>
    <w:rsid w:val="00E457F4"/>
    <w:rsid w:val="00E45EB5"/>
    <w:rsid w:val="00E46428"/>
    <w:rsid w:val="00E4646D"/>
    <w:rsid w:val="00E465D0"/>
    <w:rsid w:val="00E4756E"/>
    <w:rsid w:val="00E478C9"/>
    <w:rsid w:val="00E5016F"/>
    <w:rsid w:val="00E508EF"/>
    <w:rsid w:val="00E5481A"/>
    <w:rsid w:val="00E55BFE"/>
    <w:rsid w:val="00E57C3D"/>
    <w:rsid w:val="00E63610"/>
    <w:rsid w:val="00E64747"/>
    <w:rsid w:val="00E651A9"/>
    <w:rsid w:val="00E673F1"/>
    <w:rsid w:val="00E708D5"/>
    <w:rsid w:val="00E74D96"/>
    <w:rsid w:val="00E7549E"/>
    <w:rsid w:val="00E754AD"/>
    <w:rsid w:val="00E7799E"/>
    <w:rsid w:val="00E800F3"/>
    <w:rsid w:val="00E81D20"/>
    <w:rsid w:val="00E83C60"/>
    <w:rsid w:val="00E864B6"/>
    <w:rsid w:val="00E86E1C"/>
    <w:rsid w:val="00E9339D"/>
    <w:rsid w:val="00E968CB"/>
    <w:rsid w:val="00EA0C91"/>
    <w:rsid w:val="00EA1C59"/>
    <w:rsid w:val="00EA2A29"/>
    <w:rsid w:val="00EA2CE8"/>
    <w:rsid w:val="00EA33C6"/>
    <w:rsid w:val="00EA7152"/>
    <w:rsid w:val="00EA78AC"/>
    <w:rsid w:val="00EA79F5"/>
    <w:rsid w:val="00EB0B03"/>
    <w:rsid w:val="00EB1592"/>
    <w:rsid w:val="00EB191D"/>
    <w:rsid w:val="00EB1B3D"/>
    <w:rsid w:val="00EB361E"/>
    <w:rsid w:val="00EB3E18"/>
    <w:rsid w:val="00EB5AC2"/>
    <w:rsid w:val="00EB5CE5"/>
    <w:rsid w:val="00EB63D8"/>
    <w:rsid w:val="00EB6CF3"/>
    <w:rsid w:val="00EB7328"/>
    <w:rsid w:val="00EC255E"/>
    <w:rsid w:val="00EC51E2"/>
    <w:rsid w:val="00EC554E"/>
    <w:rsid w:val="00EC6135"/>
    <w:rsid w:val="00EC6820"/>
    <w:rsid w:val="00EC6CF0"/>
    <w:rsid w:val="00ED1D7B"/>
    <w:rsid w:val="00ED28AB"/>
    <w:rsid w:val="00ED313F"/>
    <w:rsid w:val="00ED3948"/>
    <w:rsid w:val="00ED3B48"/>
    <w:rsid w:val="00ED51BC"/>
    <w:rsid w:val="00ED5385"/>
    <w:rsid w:val="00EE1C6F"/>
    <w:rsid w:val="00EE3333"/>
    <w:rsid w:val="00EE48F0"/>
    <w:rsid w:val="00EE72B8"/>
    <w:rsid w:val="00EE755E"/>
    <w:rsid w:val="00EF169F"/>
    <w:rsid w:val="00EF3B18"/>
    <w:rsid w:val="00EF3FBB"/>
    <w:rsid w:val="00EF4228"/>
    <w:rsid w:val="00EF63CE"/>
    <w:rsid w:val="00F01069"/>
    <w:rsid w:val="00F0131D"/>
    <w:rsid w:val="00F0144A"/>
    <w:rsid w:val="00F03877"/>
    <w:rsid w:val="00F03CD1"/>
    <w:rsid w:val="00F06285"/>
    <w:rsid w:val="00F1233E"/>
    <w:rsid w:val="00F149FC"/>
    <w:rsid w:val="00F15267"/>
    <w:rsid w:val="00F158C6"/>
    <w:rsid w:val="00F15B3E"/>
    <w:rsid w:val="00F22B02"/>
    <w:rsid w:val="00F22DDC"/>
    <w:rsid w:val="00F24390"/>
    <w:rsid w:val="00F2478D"/>
    <w:rsid w:val="00F24BBC"/>
    <w:rsid w:val="00F24ED7"/>
    <w:rsid w:val="00F24FB9"/>
    <w:rsid w:val="00F25061"/>
    <w:rsid w:val="00F30141"/>
    <w:rsid w:val="00F31013"/>
    <w:rsid w:val="00F32DAC"/>
    <w:rsid w:val="00F34BC0"/>
    <w:rsid w:val="00F34C72"/>
    <w:rsid w:val="00F34E36"/>
    <w:rsid w:val="00F36816"/>
    <w:rsid w:val="00F37373"/>
    <w:rsid w:val="00F4016C"/>
    <w:rsid w:val="00F426B3"/>
    <w:rsid w:val="00F4452E"/>
    <w:rsid w:val="00F44F55"/>
    <w:rsid w:val="00F45A84"/>
    <w:rsid w:val="00F45B03"/>
    <w:rsid w:val="00F46E5D"/>
    <w:rsid w:val="00F47BF1"/>
    <w:rsid w:val="00F51B99"/>
    <w:rsid w:val="00F55476"/>
    <w:rsid w:val="00F55B3A"/>
    <w:rsid w:val="00F56470"/>
    <w:rsid w:val="00F5684C"/>
    <w:rsid w:val="00F61CB1"/>
    <w:rsid w:val="00F620B5"/>
    <w:rsid w:val="00F63E2D"/>
    <w:rsid w:val="00F64CFF"/>
    <w:rsid w:val="00F65B42"/>
    <w:rsid w:val="00F6792D"/>
    <w:rsid w:val="00F70D7E"/>
    <w:rsid w:val="00F710D5"/>
    <w:rsid w:val="00F71EA2"/>
    <w:rsid w:val="00F7414E"/>
    <w:rsid w:val="00F74317"/>
    <w:rsid w:val="00F76F9B"/>
    <w:rsid w:val="00F81249"/>
    <w:rsid w:val="00F81E63"/>
    <w:rsid w:val="00F83352"/>
    <w:rsid w:val="00F833C2"/>
    <w:rsid w:val="00F83893"/>
    <w:rsid w:val="00F85000"/>
    <w:rsid w:val="00F851FB"/>
    <w:rsid w:val="00F879E3"/>
    <w:rsid w:val="00F87A58"/>
    <w:rsid w:val="00F87C15"/>
    <w:rsid w:val="00F921CD"/>
    <w:rsid w:val="00F93444"/>
    <w:rsid w:val="00F93CD9"/>
    <w:rsid w:val="00F963CC"/>
    <w:rsid w:val="00F966BB"/>
    <w:rsid w:val="00FA0CDD"/>
    <w:rsid w:val="00FA0D8E"/>
    <w:rsid w:val="00FA154C"/>
    <w:rsid w:val="00FA46EB"/>
    <w:rsid w:val="00FA55C0"/>
    <w:rsid w:val="00FA5CD6"/>
    <w:rsid w:val="00FA73A7"/>
    <w:rsid w:val="00FB138C"/>
    <w:rsid w:val="00FB382F"/>
    <w:rsid w:val="00FB3AD1"/>
    <w:rsid w:val="00FB48C2"/>
    <w:rsid w:val="00FB58DD"/>
    <w:rsid w:val="00FB5AA5"/>
    <w:rsid w:val="00FB5B64"/>
    <w:rsid w:val="00FB6371"/>
    <w:rsid w:val="00FC1E5C"/>
    <w:rsid w:val="00FC2D62"/>
    <w:rsid w:val="00FC46B0"/>
    <w:rsid w:val="00FC48D2"/>
    <w:rsid w:val="00FD56D7"/>
    <w:rsid w:val="00FD76BA"/>
    <w:rsid w:val="00FE27AA"/>
    <w:rsid w:val="00FF29FD"/>
    <w:rsid w:val="00FF39E7"/>
    <w:rsid w:val="00FF5DC9"/>
    <w:rsid w:val="00FF6F2C"/>
    <w:rsid w:val="00FF7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1"/>
    <o:shapelayout v:ext="edit">
      <o:idmap v:ext="edit" data="2"/>
    </o:shapelayout>
  </w:shapeDefaults>
  <w:doNotEmbedSmartTags/>
  <w:decimalSymbol w:val="."/>
  <w:listSeparator w:val=","/>
  <w14:docId w14:val="3D8D188D"/>
  <w15:chartTrackingRefBased/>
  <w15:docId w15:val="{67320ACA-3B23-49CF-B511-35B05486B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2D0D"/>
    <w:pPr>
      <w:widowControl w:val="0"/>
      <w:autoSpaceDE w:val="0"/>
      <w:autoSpaceDN w:val="0"/>
      <w:adjustRightInd w:val="0"/>
    </w:p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2">
    <w:name w:val="1AutoList2"/>
    <w:pPr>
      <w:widowControl w:val="0"/>
      <w:tabs>
        <w:tab w:val="left" w:pos="720"/>
      </w:tabs>
      <w:autoSpaceDE w:val="0"/>
      <w:autoSpaceDN w:val="0"/>
      <w:adjustRightInd w:val="0"/>
      <w:ind w:left="720" w:hanging="720"/>
      <w:jc w:val="both"/>
    </w:pPr>
    <w:rPr>
      <w:sz w:val="24"/>
      <w:szCs w:val="24"/>
    </w:rPr>
  </w:style>
  <w:style w:type="paragraph" w:customStyle="1" w:styleId="2AutoList2">
    <w:name w:val="2AutoList2"/>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2">
    <w:name w:val="3AutoList2"/>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2">
    <w:name w:val="4AutoList2"/>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2">
    <w:name w:val="5AutoList2"/>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2">
    <w:name w:val="6AutoList2"/>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2">
    <w:name w:val="7AutoList2"/>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2">
    <w:name w:val="8AutoList2"/>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
    <w:name w:val="1AutoList3"/>
    <w:pPr>
      <w:widowControl w:val="0"/>
      <w:tabs>
        <w:tab w:val="left" w:pos="720"/>
      </w:tabs>
      <w:autoSpaceDE w:val="0"/>
      <w:autoSpaceDN w:val="0"/>
      <w:adjustRightInd w:val="0"/>
      <w:ind w:left="720" w:hanging="720"/>
      <w:jc w:val="both"/>
    </w:pPr>
    <w:rPr>
      <w:sz w:val="24"/>
      <w:szCs w:val="24"/>
    </w:rPr>
  </w:style>
  <w:style w:type="paragraph" w:customStyle="1" w:styleId="2AutoList3">
    <w:name w:val="2AutoList3"/>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
    <w:name w:val="3AutoList3"/>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
    <w:name w:val="4AutoList3"/>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
    <w:name w:val="5AutoList3"/>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
    <w:name w:val="6AutoList3"/>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
    <w:name w:val="7AutoList3"/>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
    <w:name w:val="8AutoList3"/>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RightPar">
    <w:name w:val="1Right Par"/>
    <w:pPr>
      <w:widowControl w:val="0"/>
      <w:tabs>
        <w:tab w:val="left" w:pos="720"/>
      </w:tabs>
      <w:autoSpaceDE w:val="0"/>
      <w:autoSpaceDN w:val="0"/>
      <w:adjustRightInd w:val="0"/>
      <w:ind w:left="720" w:hanging="1440"/>
      <w:jc w:val="both"/>
    </w:pPr>
    <w:rPr>
      <w:sz w:val="24"/>
      <w:szCs w:val="24"/>
    </w:rPr>
  </w:style>
  <w:style w:type="paragraph" w:customStyle="1" w:styleId="2RightPar">
    <w:name w:val="2Right Par"/>
    <w:pPr>
      <w:widowControl w:val="0"/>
      <w:tabs>
        <w:tab w:val="left" w:pos="720"/>
        <w:tab w:val="left" w:pos="1440"/>
      </w:tabs>
      <w:autoSpaceDE w:val="0"/>
      <w:autoSpaceDN w:val="0"/>
      <w:adjustRightInd w:val="0"/>
      <w:ind w:left="1440" w:hanging="2160"/>
      <w:jc w:val="both"/>
    </w:pPr>
    <w:rPr>
      <w:sz w:val="24"/>
      <w:szCs w:val="24"/>
    </w:rPr>
  </w:style>
  <w:style w:type="paragraph" w:customStyle="1" w:styleId="3RightPar">
    <w:name w:val="3Right Par"/>
    <w:pPr>
      <w:widowControl w:val="0"/>
      <w:tabs>
        <w:tab w:val="left" w:pos="720"/>
        <w:tab w:val="left" w:pos="1440"/>
        <w:tab w:val="left" w:pos="2160"/>
      </w:tabs>
      <w:autoSpaceDE w:val="0"/>
      <w:autoSpaceDN w:val="0"/>
      <w:adjustRightInd w:val="0"/>
      <w:ind w:left="2160" w:hanging="3600"/>
      <w:jc w:val="both"/>
    </w:pPr>
    <w:rPr>
      <w:sz w:val="24"/>
      <w:szCs w:val="24"/>
    </w:rPr>
  </w:style>
  <w:style w:type="paragraph" w:customStyle="1" w:styleId="4RightPar">
    <w:name w:val="4Right Par"/>
    <w:pPr>
      <w:widowControl w:val="0"/>
      <w:tabs>
        <w:tab w:val="left" w:pos="720"/>
        <w:tab w:val="left" w:pos="1440"/>
        <w:tab w:val="left" w:pos="2160"/>
        <w:tab w:val="left" w:pos="2880"/>
      </w:tabs>
      <w:autoSpaceDE w:val="0"/>
      <w:autoSpaceDN w:val="0"/>
      <w:adjustRightInd w:val="0"/>
      <w:ind w:left="2880" w:hanging="5040"/>
      <w:jc w:val="both"/>
    </w:pPr>
    <w:rPr>
      <w:sz w:val="24"/>
      <w:szCs w:val="24"/>
    </w:rPr>
  </w:style>
  <w:style w:type="paragraph" w:customStyle="1" w:styleId="5RightPar">
    <w:name w:val="5Right Par"/>
    <w:pPr>
      <w:widowControl w:val="0"/>
      <w:tabs>
        <w:tab w:val="left" w:pos="720"/>
        <w:tab w:val="left" w:pos="1440"/>
        <w:tab w:val="left" w:pos="2160"/>
        <w:tab w:val="left" w:pos="2880"/>
        <w:tab w:val="left" w:pos="3600"/>
      </w:tabs>
      <w:autoSpaceDE w:val="0"/>
      <w:autoSpaceDN w:val="0"/>
      <w:adjustRightInd w:val="0"/>
      <w:ind w:left="3600" w:hanging="6480"/>
      <w:jc w:val="both"/>
    </w:pPr>
    <w:rPr>
      <w:sz w:val="24"/>
      <w:szCs w:val="24"/>
    </w:rPr>
  </w:style>
  <w:style w:type="paragraph" w:customStyle="1" w:styleId="6RightPar">
    <w:name w:val="6Right Par"/>
    <w:pPr>
      <w:widowControl w:val="0"/>
      <w:tabs>
        <w:tab w:val="left" w:pos="720"/>
        <w:tab w:val="left" w:pos="1440"/>
        <w:tab w:val="left" w:pos="2160"/>
        <w:tab w:val="left" w:pos="2880"/>
        <w:tab w:val="left" w:pos="3600"/>
        <w:tab w:val="left" w:pos="4320"/>
      </w:tabs>
      <w:autoSpaceDE w:val="0"/>
      <w:autoSpaceDN w:val="0"/>
      <w:adjustRightInd w:val="0"/>
      <w:ind w:left="4320" w:hanging="7920"/>
      <w:jc w:val="both"/>
    </w:pPr>
    <w:rPr>
      <w:sz w:val="24"/>
      <w:szCs w:val="24"/>
    </w:rPr>
  </w:style>
  <w:style w:type="paragraph" w:customStyle="1" w:styleId="7RightPar">
    <w:name w:val="7Right Par"/>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9360"/>
      <w:jc w:val="both"/>
    </w:pPr>
    <w:rPr>
      <w:sz w:val="24"/>
      <w:szCs w:val="24"/>
    </w:rPr>
  </w:style>
  <w:style w:type="paragraph" w:customStyle="1" w:styleId="8RightPar">
    <w:name w:val="8Right Par"/>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10800"/>
      <w:jc w:val="both"/>
    </w:pPr>
    <w:rPr>
      <w:sz w:val="24"/>
      <w:szCs w:val="24"/>
    </w:rPr>
  </w:style>
  <w:style w:type="paragraph" w:customStyle="1" w:styleId="1AutoList4">
    <w:name w:val="1AutoList4"/>
    <w:pPr>
      <w:widowControl w:val="0"/>
      <w:tabs>
        <w:tab w:val="left" w:pos="720"/>
      </w:tabs>
      <w:autoSpaceDE w:val="0"/>
      <w:autoSpaceDN w:val="0"/>
      <w:adjustRightInd w:val="0"/>
      <w:ind w:left="720" w:hanging="720"/>
      <w:jc w:val="both"/>
    </w:pPr>
    <w:rPr>
      <w:sz w:val="24"/>
      <w:szCs w:val="24"/>
    </w:rPr>
  </w:style>
  <w:style w:type="paragraph" w:customStyle="1" w:styleId="2AutoList4">
    <w:name w:val="2AutoList4"/>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4">
    <w:name w:val="3AutoList4"/>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4">
    <w:name w:val="4AutoList4"/>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4">
    <w:name w:val="5AutoList4"/>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4">
    <w:name w:val="6AutoList4"/>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4">
    <w:name w:val="7AutoList4"/>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4">
    <w:name w:val="8AutoList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1">
    <w:name w:val="1AutoList1"/>
    <w:pPr>
      <w:widowControl w:val="0"/>
      <w:tabs>
        <w:tab w:val="left" w:pos="720"/>
      </w:tabs>
      <w:autoSpaceDE w:val="0"/>
      <w:autoSpaceDN w:val="0"/>
      <w:adjustRightInd w:val="0"/>
      <w:ind w:left="720" w:hanging="720"/>
      <w:jc w:val="both"/>
    </w:pPr>
    <w:rPr>
      <w:sz w:val="24"/>
      <w:szCs w:val="24"/>
    </w:rPr>
  </w:style>
  <w:style w:type="paragraph" w:customStyle="1" w:styleId="2AutoList1">
    <w:name w:val="2AutoList1"/>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
    <w:name w:val="3AutoList1"/>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
    <w:name w:val="4AutoList1"/>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
    <w:name w:val="5AutoList1"/>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
    <w:name w:val="6AutoList1"/>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
    <w:name w:val="7AutoList1"/>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
    <w:name w:val="8AutoList1"/>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Technical">
    <w:name w:val="1Technical"/>
    <w:pPr>
      <w:widowControl w:val="0"/>
      <w:autoSpaceDE w:val="0"/>
      <w:autoSpaceDN w:val="0"/>
      <w:adjustRightInd w:val="0"/>
      <w:jc w:val="both"/>
    </w:pPr>
    <w:rPr>
      <w:sz w:val="24"/>
      <w:szCs w:val="24"/>
    </w:rPr>
  </w:style>
  <w:style w:type="paragraph" w:customStyle="1" w:styleId="2Technical">
    <w:name w:val="2Technical"/>
    <w:pPr>
      <w:widowControl w:val="0"/>
      <w:autoSpaceDE w:val="0"/>
      <w:autoSpaceDN w:val="0"/>
      <w:adjustRightInd w:val="0"/>
      <w:jc w:val="both"/>
    </w:pPr>
    <w:rPr>
      <w:sz w:val="24"/>
      <w:szCs w:val="24"/>
    </w:rPr>
  </w:style>
  <w:style w:type="paragraph" w:customStyle="1" w:styleId="3Technical">
    <w:name w:val="3Technical"/>
    <w:pPr>
      <w:widowControl w:val="0"/>
      <w:autoSpaceDE w:val="0"/>
      <w:autoSpaceDN w:val="0"/>
      <w:adjustRightInd w:val="0"/>
      <w:jc w:val="both"/>
    </w:pPr>
    <w:rPr>
      <w:sz w:val="24"/>
      <w:szCs w:val="24"/>
    </w:rPr>
  </w:style>
  <w:style w:type="paragraph" w:customStyle="1" w:styleId="4Technical">
    <w:name w:val="4Technical"/>
    <w:pPr>
      <w:widowControl w:val="0"/>
      <w:autoSpaceDE w:val="0"/>
      <w:autoSpaceDN w:val="0"/>
      <w:adjustRightInd w:val="0"/>
      <w:jc w:val="both"/>
    </w:pPr>
    <w:rPr>
      <w:sz w:val="24"/>
      <w:szCs w:val="24"/>
    </w:rPr>
  </w:style>
  <w:style w:type="paragraph" w:customStyle="1" w:styleId="5Technical">
    <w:name w:val="5Technical"/>
    <w:pPr>
      <w:widowControl w:val="0"/>
      <w:autoSpaceDE w:val="0"/>
      <w:autoSpaceDN w:val="0"/>
      <w:adjustRightInd w:val="0"/>
      <w:jc w:val="both"/>
    </w:pPr>
    <w:rPr>
      <w:sz w:val="24"/>
      <w:szCs w:val="24"/>
    </w:rPr>
  </w:style>
  <w:style w:type="paragraph" w:customStyle="1" w:styleId="6Technical">
    <w:name w:val="6Technical"/>
    <w:pPr>
      <w:widowControl w:val="0"/>
      <w:autoSpaceDE w:val="0"/>
      <w:autoSpaceDN w:val="0"/>
      <w:adjustRightInd w:val="0"/>
      <w:jc w:val="both"/>
    </w:pPr>
    <w:rPr>
      <w:sz w:val="24"/>
      <w:szCs w:val="24"/>
    </w:rPr>
  </w:style>
  <w:style w:type="paragraph" w:customStyle="1" w:styleId="7Technical">
    <w:name w:val="7Technical"/>
    <w:pPr>
      <w:widowControl w:val="0"/>
      <w:autoSpaceDE w:val="0"/>
      <w:autoSpaceDN w:val="0"/>
      <w:adjustRightInd w:val="0"/>
      <w:jc w:val="both"/>
    </w:pPr>
    <w:rPr>
      <w:sz w:val="24"/>
      <w:szCs w:val="24"/>
    </w:rPr>
  </w:style>
  <w:style w:type="paragraph" w:customStyle="1" w:styleId="8Technical">
    <w:name w:val="8Technical"/>
    <w:pPr>
      <w:widowControl w:val="0"/>
      <w:autoSpaceDE w:val="0"/>
      <w:autoSpaceDN w:val="0"/>
      <w:adjustRightInd w:val="0"/>
      <w:jc w:val="both"/>
    </w:pPr>
    <w:rPr>
      <w:sz w:val="24"/>
      <w:szCs w:val="24"/>
    </w:rPr>
  </w:style>
  <w:style w:type="paragraph" w:customStyle="1" w:styleId="1Document">
    <w:name w:val="1Document"/>
    <w:pPr>
      <w:keepNext/>
      <w:widowControl w:val="0"/>
      <w:autoSpaceDE w:val="0"/>
      <w:autoSpaceDN w:val="0"/>
      <w:adjustRightInd w:val="0"/>
      <w:jc w:val="center"/>
    </w:pPr>
    <w:rPr>
      <w:sz w:val="24"/>
      <w:szCs w:val="24"/>
    </w:rPr>
  </w:style>
  <w:style w:type="paragraph" w:customStyle="1" w:styleId="2Document">
    <w:name w:val="2Document"/>
    <w:pPr>
      <w:widowControl w:val="0"/>
      <w:autoSpaceDE w:val="0"/>
      <w:autoSpaceDN w:val="0"/>
      <w:adjustRightInd w:val="0"/>
      <w:jc w:val="both"/>
    </w:pPr>
    <w:rPr>
      <w:sz w:val="24"/>
      <w:szCs w:val="24"/>
    </w:rPr>
  </w:style>
  <w:style w:type="paragraph" w:customStyle="1" w:styleId="3Document">
    <w:name w:val="3Document"/>
    <w:pPr>
      <w:widowControl w:val="0"/>
      <w:autoSpaceDE w:val="0"/>
      <w:autoSpaceDN w:val="0"/>
      <w:adjustRightInd w:val="0"/>
      <w:jc w:val="both"/>
    </w:pPr>
    <w:rPr>
      <w:sz w:val="24"/>
      <w:szCs w:val="24"/>
    </w:rPr>
  </w:style>
  <w:style w:type="paragraph" w:customStyle="1" w:styleId="4Document">
    <w:name w:val="4Document"/>
    <w:pPr>
      <w:widowControl w:val="0"/>
      <w:autoSpaceDE w:val="0"/>
      <w:autoSpaceDN w:val="0"/>
      <w:adjustRightInd w:val="0"/>
    </w:pPr>
    <w:rPr>
      <w:sz w:val="24"/>
      <w:szCs w:val="24"/>
    </w:rPr>
  </w:style>
  <w:style w:type="paragraph" w:customStyle="1" w:styleId="5Document">
    <w:name w:val="5Document"/>
    <w:pPr>
      <w:widowControl w:val="0"/>
      <w:autoSpaceDE w:val="0"/>
      <w:autoSpaceDN w:val="0"/>
      <w:adjustRightInd w:val="0"/>
      <w:ind w:left="720"/>
      <w:jc w:val="both"/>
    </w:pPr>
    <w:rPr>
      <w:sz w:val="24"/>
      <w:szCs w:val="24"/>
    </w:rPr>
  </w:style>
  <w:style w:type="paragraph" w:customStyle="1" w:styleId="6Document">
    <w:name w:val="6Document"/>
    <w:pPr>
      <w:widowControl w:val="0"/>
      <w:autoSpaceDE w:val="0"/>
      <w:autoSpaceDN w:val="0"/>
      <w:adjustRightInd w:val="0"/>
      <w:ind w:left="720" w:right="720"/>
      <w:jc w:val="both"/>
    </w:pPr>
    <w:rPr>
      <w:sz w:val="24"/>
      <w:szCs w:val="24"/>
    </w:rPr>
  </w:style>
  <w:style w:type="paragraph" w:customStyle="1" w:styleId="7Document">
    <w:name w:val="7Document"/>
    <w:pPr>
      <w:widowControl w:val="0"/>
      <w:autoSpaceDE w:val="0"/>
      <w:autoSpaceDN w:val="0"/>
      <w:adjustRightInd w:val="0"/>
      <w:ind w:left="1440"/>
      <w:jc w:val="both"/>
    </w:pPr>
    <w:rPr>
      <w:sz w:val="24"/>
      <w:szCs w:val="24"/>
    </w:rPr>
  </w:style>
  <w:style w:type="paragraph" w:customStyle="1" w:styleId="8Document">
    <w:name w:val="8Document"/>
    <w:pPr>
      <w:widowControl w:val="0"/>
      <w:autoSpaceDE w:val="0"/>
      <w:autoSpaceDN w:val="0"/>
      <w:adjustRightInd w:val="0"/>
      <w:ind w:left="1440" w:right="720"/>
      <w:jc w:val="both"/>
    </w:pPr>
    <w:rPr>
      <w:sz w:val="24"/>
      <w:szCs w:val="24"/>
    </w:rPr>
  </w:style>
  <w:style w:type="paragraph" w:customStyle="1" w:styleId="QuickA">
    <w:name w:val="Quick A."/>
    <w:pPr>
      <w:widowControl w:val="0"/>
      <w:autoSpaceDE w:val="0"/>
      <w:autoSpaceDN w:val="0"/>
      <w:adjustRightInd w:val="0"/>
      <w:ind w:left="-1350"/>
      <w:jc w:val="both"/>
    </w:pPr>
    <w:rPr>
      <w:sz w:val="24"/>
      <w:szCs w:val="24"/>
    </w:rPr>
  </w:style>
  <w:style w:type="paragraph" w:customStyle="1" w:styleId="QuickI">
    <w:name w:val="Quick I."/>
    <w:pPr>
      <w:widowControl w:val="0"/>
      <w:autoSpaceDE w:val="0"/>
      <w:autoSpaceDN w:val="0"/>
      <w:adjustRightInd w:val="0"/>
      <w:ind w:left="-1350"/>
    </w:pPr>
    <w:rPr>
      <w:sz w:val="24"/>
      <w:szCs w:val="24"/>
    </w:rPr>
  </w:style>
  <w:style w:type="paragraph" w:customStyle="1" w:styleId="A">
    <w:name w:val="A"/>
    <w:pPr>
      <w:widowControl w:val="0"/>
      <w:autoSpaceDE w:val="0"/>
      <w:autoSpaceDN w:val="0"/>
      <w:adjustRightInd w:val="0"/>
    </w:pPr>
    <w:rPr>
      <w:sz w:val="22"/>
      <w:szCs w:val="22"/>
    </w:rPr>
  </w:style>
  <w:style w:type="paragraph" w:customStyle="1" w:styleId="a0">
    <w:name w:val="_"/>
    <w:pPr>
      <w:widowControl w:val="0"/>
      <w:autoSpaceDE w:val="0"/>
      <w:autoSpaceDN w:val="0"/>
      <w:adjustRightInd w:val="0"/>
      <w:ind w:left="-1350"/>
    </w:pPr>
    <w:rPr>
      <w:sz w:val="24"/>
      <w:szCs w:val="24"/>
    </w:rPr>
  </w:style>
  <w:style w:type="character" w:customStyle="1" w:styleId="BulletList">
    <w:name w:val="Bullet List"/>
  </w:style>
  <w:style w:type="character" w:customStyle="1" w:styleId="QuickFormat2">
    <w:name w:val="QuickFormat2"/>
    <w:rPr>
      <w:sz w:val="20"/>
      <w:szCs w:val="20"/>
    </w:rPr>
  </w:style>
  <w:style w:type="character" w:customStyle="1" w:styleId="QuickFormat1">
    <w:name w:val="QuickFormat1"/>
    <w:rPr>
      <w:sz w:val="20"/>
      <w:szCs w:val="20"/>
    </w:rPr>
  </w:style>
  <w:style w:type="character" w:customStyle="1" w:styleId="DocInit">
    <w:name w:val="Doc Init"/>
  </w:style>
  <w:style w:type="character" w:customStyle="1" w:styleId="Bibliogrphy">
    <w:name w:val="Bibliogrphy"/>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rsid w:val="004E3C32"/>
    <w:pPr>
      <w:tabs>
        <w:tab w:val="center" w:pos="4320"/>
        <w:tab w:val="right" w:pos="8640"/>
      </w:tabs>
    </w:pPr>
  </w:style>
  <w:style w:type="paragraph" w:customStyle="1" w:styleId="Level1">
    <w:name w:val="Level 1"/>
    <w:basedOn w:val="Normal"/>
    <w:rsid w:val="00DC7139"/>
    <w:pPr>
      <w:tabs>
        <w:tab w:val="num" w:pos="360"/>
      </w:tabs>
      <w:ind w:left="720" w:hanging="720"/>
      <w:outlineLvl w:val="0"/>
    </w:pPr>
    <w:rPr>
      <w:sz w:val="24"/>
      <w:szCs w:val="24"/>
    </w:rPr>
  </w:style>
  <w:style w:type="paragraph" w:styleId="BalloonText">
    <w:name w:val="Balloon Text"/>
    <w:basedOn w:val="Normal"/>
    <w:semiHidden/>
    <w:rsid w:val="005601EA"/>
    <w:rPr>
      <w:rFonts w:ascii="Tahoma" w:hAnsi="Tahoma" w:cs="Tahoma"/>
      <w:sz w:val="16"/>
      <w:szCs w:val="16"/>
    </w:rPr>
  </w:style>
  <w:style w:type="table" w:styleId="TableGrid">
    <w:name w:val="Table Grid"/>
    <w:basedOn w:val="TableNormal"/>
    <w:rsid w:val="006E66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5374C3"/>
  </w:style>
  <w:style w:type="paragraph" w:styleId="BodyText">
    <w:name w:val="Body Text"/>
    <w:basedOn w:val="Normal"/>
    <w:link w:val="BodyTextChar"/>
    <w:rsid w:val="00C507E4"/>
    <w:pPr>
      <w:widowControl/>
      <w:tabs>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928"/>
      </w:tabs>
      <w:autoSpaceDE/>
      <w:autoSpaceDN/>
      <w:adjustRightInd/>
      <w:jc w:val="both"/>
    </w:pPr>
    <w:rPr>
      <w:rFonts w:ascii="Baskerville Old Face" w:hAnsi="Baskerville Old Face"/>
      <w:snapToGrid w:val="0"/>
      <w:sz w:val="22"/>
    </w:rPr>
  </w:style>
  <w:style w:type="character" w:customStyle="1" w:styleId="BodyTextChar">
    <w:name w:val="Body Text Char"/>
    <w:link w:val="BodyText"/>
    <w:rsid w:val="00C507E4"/>
    <w:rPr>
      <w:rFonts w:ascii="Baskerville Old Face" w:hAnsi="Baskerville Old Face"/>
      <w:snapToGrid w:val="0"/>
      <w:sz w:val="22"/>
    </w:rPr>
  </w:style>
  <w:style w:type="character" w:styleId="CommentReference">
    <w:name w:val="annotation reference"/>
    <w:rsid w:val="00582CAE"/>
    <w:rPr>
      <w:sz w:val="16"/>
      <w:szCs w:val="16"/>
    </w:rPr>
  </w:style>
  <w:style w:type="paragraph" w:styleId="CommentText">
    <w:name w:val="annotation text"/>
    <w:basedOn w:val="Normal"/>
    <w:link w:val="CommentTextChar"/>
    <w:rsid w:val="00582CAE"/>
    <w:pPr>
      <w:widowControl/>
      <w:autoSpaceDE/>
      <w:autoSpaceDN/>
      <w:adjustRightInd/>
    </w:pPr>
  </w:style>
  <w:style w:type="character" w:customStyle="1" w:styleId="CommentTextChar">
    <w:name w:val="Comment Text Char"/>
    <w:basedOn w:val="DefaultParagraphFont"/>
    <w:link w:val="CommentText"/>
    <w:rsid w:val="00582CAE"/>
  </w:style>
  <w:style w:type="paragraph" w:styleId="CommentSubject">
    <w:name w:val="annotation subject"/>
    <w:basedOn w:val="CommentText"/>
    <w:next w:val="CommentText"/>
    <w:link w:val="CommentSubjectChar"/>
    <w:rsid w:val="00BA56F7"/>
    <w:pPr>
      <w:widowControl w:val="0"/>
      <w:autoSpaceDE w:val="0"/>
      <w:autoSpaceDN w:val="0"/>
      <w:adjustRightInd w:val="0"/>
    </w:pPr>
    <w:rPr>
      <w:b/>
      <w:bCs/>
    </w:rPr>
  </w:style>
  <w:style w:type="character" w:customStyle="1" w:styleId="CommentSubjectChar">
    <w:name w:val="Comment Subject Char"/>
    <w:link w:val="CommentSubject"/>
    <w:rsid w:val="00BA56F7"/>
    <w:rPr>
      <w:b/>
      <w:bCs/>
    </w:rPr>
  </w:style>
  <w:style w:type="character" w:styleId="Hyperlink">
    <w:name w:val="Hyperlink"/>
    <w:rsid w:val="0030481B"/>
    <w:rPr>
      <w:color w:val="0000FF"/>
      <w:u w:val="single"/>
    </w:rPr>
  </w:style>
  <w:style w:type="paragraph" w:styleId="Revision">
    <w:name w:val="Revision"/>
    <w:hidden/>
    <w:uiPriority w:val="99"/>
    <w:semiHidden/>
    <w:rsid w:val="007939B1"/>
  </w:style>
  <w:style w:type="paragraph" w:styleId="NormalWeb">
    <w:name w:val="Normal (Web)"/>
    <w:basedOn w:val="Normal"/>
    <w:uiPriority w:val="99"/>
    <w:rsid w:val="00F4016C"/>
    <w:pPr>
      <w:widowControl/>
      <w:autoSpaceDE/>
      <w:autoSpaceDN/>
      <w:adjustRightInd/>
    </w:pPr>
    <w:rPr>
      <w:b/>
      <w:i/>
    </w:rPr>
  </w:style>
  <w:style w:type="character" w:styleId="Emphasis">
    <w:name w:val="Emphasis"/>
    <w:uiPriority w:val="20"/>
    <w:qFormat/>
    <w:rsid w:val="00854F3C"/>
    <w:rPr>
      <w:i/>
      <w:iCs/>
    </w:rPr>
  </w:style>
  <w:style w:type="paragraph" w:styleId="ListParagraph">
    <w:name w:val="List Paragraph"/>
    <w:basedOn w:val="Normal"/>
    <w:uiPriority w:val="34"/>
    <w:qFormat/>
    <w:rsid w:val="006801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2330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oleObject" Target="embeddings/Microsoft_Excel_97-2003_Worksheet.xls"/><Relationship Id="rId26" Type="http://schemas.openxmlformats.org/officeDocument/2006/relationships/oleObject" Target="embeddings/Microsoft_Excel_97-2003_Worksheet3.xls"/><Relationship Id="rId39" Type="http://schemas.openxmlformats.org/officeDocument/2006/relationships/hyperlink" Target="https://www.opers.org/financial/reports.shtml" TargetMode="External"/><Relationship Id="rId21" Type="http://schemas.openxmlformats.org/officeDocument/2006/relationships/image" Target="media/image5.emf"/><Relationship Id="rId34" Type="http://schemas.openxmlformats.org/officeDocument/2006/relationships/package" Target="embeddings/Microsoft_Excel_Worksheet3.xlsx"/><Relationship Id="rId42" Type="http://schemas.openxmlformats.org/officeDocument/2006/relationships/image" Target="media/image14.emf"/><Relationship Id="rId47" Type="http://schemas.openxmlformats.org/officeDocument/2006/relationships/package" Target="embeddings/Microsoft_Excel_Worksheet6.xlsx"/><Relationship Id="rId50" Type="http://schemas.openxmlformats.org/officeDocument/2006/relationships/hyperlink" Target="https://www.ohioauditor.gov/references/gasbfaqs.html" TargetMode="External"/><Relationship Id="rId55" Type="http://schemas.openxmlformats.org/officeDocument/2006/relationships/package" Target="embeddings/Microsoft_Excel_Worksheet9.xlsx"/><Relationship Id="rId63"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package" Target="embeddings/Microsoft_Excel_Worksheet1.xlsx"/><Relationship Id="rId20" Type="http://schemas.openxmlformats.org/officeDocument/2006/relationships/oleObject" Target="embeddings/Microsoft_Excel_97-2003_Worksheet1.xls"/><Relationship Id="rId29" Type="http://schemas.openxmlformats.org/officeDocument/2006/relationships/hyperlink" Target="http://www.ohioauditor.gov/references/shells/footnotes.html" TargetMode="External"/><Relationship Id="rId41" Type="http://schemas.openxmlformats.org/officeDocument/2006/relationships/oleObject" Target="embeddings/Microsoft_Excel_97-2003_Worksheet6.xls"/><Relationship Id="rId54" Type="http://schemas.openxmlformats.org/officeDocument/2006/relationships/image" Target="media/image19.emf"/><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hioauditor.gov/references/gasbfaqs.html" TargetMode="External"/><Relationship Id="rId24" Type="http://schemas.openxmlformats.org/officeDocument/2006/relationships/package" Target="embeddings/Microsoft_Excel_Worksheet2.xlsx"/><Relationship Id="rId32" Type="http://schemas.openxmlformats.org/officeDocument/2006/relationships/hyperlink" Target="https://www.opers.org/financial/reports.shtml" TargetMode="External"/><Relationship Id="rId37" Type="http://schemas.openxmlformats.org/officeDocument/2006/relationships/image" Target="media/image12.emf"/><Relationship Id="rId40" Type="http://schemas.openxmlformats.org/officeDocument/2006/relationships/image" Target="media/image13.emf"/><Relationship Id="rId45" Type="http://schemas.openxmlformats.org/officeDocument/2006/relationships/oleObject" Target="embeddings/Microsoft_Excel_97-2003_Worksheet8.xls"/><Relationship Id="rId53" Type="http://schemas.openxmlformats.org/officeDocument/2006/relationships/package" Target="embeddings/Microsoft_Excel_Worksheet8.xlsx"/><Relationship Id="rId58" Type="http://schemas.openxmlformats.org/officeDocument/2006/relationships/image" Target="media/image21.emf"/><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oleObject" Target="embeddings/Microsoft_Excel_97-2003_Worksheet4.xls"/><Relationship Id="rId36" Type="http://schemas.openxmlformats.org/officeDocument/2006/relationships/package" Target="embeddings/Microsoft_Excel_Worksheet4.xlsx"/><Relationship Id="rId49" Type="http://schemas.openxmlformats.org/officeDocument/2006/relationships/package" Target="embeddings/Microsoft_Excel_Worksheet7.xlsx"/><Relationship Id="rId57" Type="http://schemas.openxmlformats.org/officeDocument/2006/relationships/package" Target="embeddings/Microsoft_Excel_Worksheet10.xlsx"/><Relationship Id="rId61"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4.emf"/><Relationship Id="rId31" Type="http://schemas.openxmlformats.org/officeDocument/2006/relationships/oleObject" Target="embeddings/Microsoft_Excel_97-2003_Worksheet5.xls"/><Relationship Id="rId44" Type="http://schemas.openxmlformats.org/officeDocument/2006/relationships/image" Target="media/image15.emf"/><Relationship Id="rId52" Type="http://schemas.openxmlformats.org/officeDocument/2006/relationships/image" Target="media/image18.emf"/><Relationship Id="rId60" Type="http://schemas.openxmlformats.org/officeDocument/2006/relationships/hyperlink" Target="https://ohioauditor.gov/resources/covid19_assistance.html"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Excel_Worksheet.xlsx"/><Relationship Id="rId22" Type="http://schemas.openxmlformats.org/officeDocument/2006/relationships/oleObject" Target="embeddings/Microsoft_Excel_97-2003_Worksheet2.xls"/><Relationship Id="rId27" Type="http://schemas.openxmlformats.org/officeDocument/2006/relationships/image" Target="media/image8.emf"/><Relationship Id="rId30" Type="http://schemas.openxmlformats.org/officeDocument/2006/relationships/image" Target="media/image9.emf"/><Relationship Id="rId35" Type="http://schemas.openxmlformats.org/officeDocument/2006/relationships/image" Target="media/image11.emf"/><Relationship Id="rId43" Type="http://schemas.openxmlformats.org/officeDocument/2006/relationships/oleObject" Target="embeddings/Microsoft_Excel_97-2003_Worksheet7.xls"/><Relationship Id="rId48" Type="http://schemas.openxmlformats.org/officeDocument/2006/relationships/image" Target="media/image17.emf"/><Relationship Id="rId56" Type="http://schemas.openxmlformats.org/officeDocument/2006/relationships/image" Target="media/image20.emf"/><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ohioauditor.gov/references/gasbfaqs.html" TargetMode="External"/><Relationship Id="rId3" Type="http://schemas.openxmlformats.org/officeDocument/2006/relationships/customXml" Target="../customXml/item3.xml"/><Relationship Id="rId12" Type="http://schemas.openxmlformats.org/officeDocument/2006/relationships/hyperlink" Target="https://www.ohioauditor.gov/references/gasbfaqs.html" TargetMode="External"/><Relationship Id="rId17" Type="http://schemas.openxmlformats.org/officeDocument/2006/relationships/image" Target="media/image3.emf"/><Relationship Id="rId25" Type="http://schemas.openxmlformats.org/officeDocument/2006/relationships/image" Target="media/image7.emf"/><Relationship Id="rId33" Type="http://schemas.openxmlformats.org/officeDocument/2006/relationships/image" Target="media/image10.emf"/><Relationship Id="rId38" Type="http://schemas.openxmlformats.org/officeDocument/2006/relationships/package" Target="embeddings/Microsoft_Excel_Worksheet5.xlsx"/><Relationship Id="rId46" Type="http://schemas.openxmlformats.org/officeDocument/2006/relationships/image" Target="media/image16.emf"/><Relationship Id="rId59" Type="http://schemas.openxmlformats.org/officeDocument/2006/relationships/package" Target="embeddings/Microsoft_Excel_Worksheet11.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5ACE5AEAB8ED14CBDA696C081068EC3" ma:contentTypeVersion="10" ma:contentTypeDescription="Create a new document." ma:contentTypeScope="" ma:versionID="e578f0dd2f7cb51da74ba1ce3f792fc6">
  <xsd:schema xmlns:xsd="http://www.w3.org/2001/XMLSchema" xmlns:xs="http://www.w3.org/2001/XMLSchema" xmlns:p="http://schemas.microsoft.com/office/2006/metadata/properties" xmlns:ns3="7e4091d6-ac26-408d-9936-3b28227d19d9" xmlns:ns4="368cc7de-4582-4402-8653-1f6c5fcb9822" targetNamespace="http://schemas.microsoft.com/office/2006/metadata/properties" ma:root="true" ma:fieldsID="9ee56ac90782832b7b051387e2e69a73" ns3:_="" ns4:_="">
    <xsd:import namespace="7e4091d6-ac26-408d-9936-3b28227d19d9"/>
    <xsd:import namespace="368cc7de-4582-4402-8653-1f6c5fcb982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4091d6-ac26-408d-9936-3b28227d19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8cc7de-4582-4402-8653-1f6c5fcb98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699F9E-47FF-4219-9CC1-A9122E331A1F}">
  <ds:schemaRefs>
    <ds:schemaRef ds:uri="http://schemas.openxmlformats.org/officeDocument/2006/bibliography"/>
  </ds:schemaRefs>
</ds:datastoreItem>
</file>

<file path=customXml/itemProps2.xml><?xml version="1.0" encoding="utf-8"?>
<ds:datastoreItem xmlns:ds="http://schemas.openxmlformats.org/officeDocument/2006/customXml" ds:itemID="{5C145982-AF9D-4FD9-9AF6-D37E9984E3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960CD1-C4C0-405E-B27F-5D94AEA4F5E3}">
  <ds:schemaRefs>
    <ds:schemaRef ds:uri="http://schemas.microsoft.com/sharepoint/v3/contenttype/forms"/>
  </ds:schemaRefs>
</ds:datastoreItem>
</file>

<file path=customXml/itemProps4.xml><?xml version="1.0" encoding="utf-8"?>
<ds:datastoreItem xmlns:ds="http://schemas.openxmlformats.org/officeDocument/2006/customXml" ds:itemID="{3AFF63BE-ECE2-406C-8B1C-35C084716D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4091d6-ac26-408d-9936-3b28227d19d9"/>
    <ds:schemaRef ds:uri="368cc7de-4582-4402-8653-1f6c5fcb9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42</Pages>
  <Words>15683</Words>
  <Characters>90502</Characters>
  <Application>Microsoft Office Word</Application>
  <DocSecurity>0</DocSecurity>
  <Lines>754</Lines>
  <Paragraphs>211</Paragraphs>
  <ScaleCrop>false</ScaleCrop>
  <HeadingPairs>
    <vt:vector size="2" baseType="variant">
      <vt:variant>
        <vt:lpstr>Title</vt:lpstr>
      </vt:variant>
      <vt:variant>
        <vt:i4>1</vt:i4>
      </vt:variant>
    </vt:vector>
  </HeadingPairs>
  <TitlesOfParts>
    <vt:vector size="1" baseType="lpstr">
      <vt:lpstr>Note 1 - Description of County and Reporting Entity</vt:lpstr>
    </vt:vector>
  </TitlesOfParts>
  <Company>Auditor of State of Ohio</Company>
  <LinksUpToDate>false</LinksUpToDate>
  <CharactersWithSpaces>105974</CharactersWithSpaces>
  <SharedDoc>false</SharedDoc>
  <HLinks>
    <vt:vector size="24" baseType="variant">
      <vt:variant>
        <vt:i4>3211329</vt:i4>
      </vt:variant>
      <vt:variant>
        <vt:i4>69</vt:i4>
      </vt:variant>
      <vt:variant>
        <vt:i4>0</vt:i4>
      </vt:variant>
      <vt:variant>
        <vt:i4>5</vt:i4>
      </vt:variant>
      <vt:variant>
        <vt:lpwstr>https://ohioauditor.gov/resources/covid19_assistance.html</vt:lpwstr>
      </vt:variant>
      <vt:variant>
        <vt:lpwstr/>
      </vt:variant>
      <vt:variant>
        <vt:i4>4784214</vt:i4>
      </vt:variant>
      <vt:variant>
        <vt:i4>39</vt:i4>
      </vt:variant>
      <vt:variant>
        <vt:i4>0</vt:i4>
      </vt:variant>
      <vt:variant>
        <vt:i4>5</vt:i4>
      </vt:variant>
      <vt:variant>
        <vt:lpwstr>https://www.opers.org/financial/reports.shtml</vt:lpwstr>
      </vt:variant>
      <vt:variant>
        <vt:lpwstr/>
      </vt:variant>
      <vt:variant>
        <vt:i4>4784214</vt:i4>
      </vt:variant>
      <vt:variant>
        <vt:i4>30</vt:i4>
      </vt:variant>
      <vt:variant>
        <vt:i4>0</vt:i4>
      </vt:variant>
      <vt:variant>
        <vt:i4>5</vt:i4>
      </vt:variant>
      <vt:variant>
        <vt:lpwstr>https://www.opers.org/financial/reports.shtml</vt:lpwstr>
      </vt:variant>
      <vt:variant>
        <vt:lpwstr/>
      </vt:variant>
      <vt:variant>
        <vt:i4>7274529</vt:i4>
      </vt:variant>
      <vt:variant>
        <vt:i4>24</vt:i4>
      </vt:variant>
      <vt:variant>
        <vt:i4>0</vt:i4>
      </vt:variant>
      <vt:variant>
        <vt:i4>5</vt:i4>
      </vt:variant>
      <vt:variant>
        <vt:lpwstr>http://www.ohioauditor.gov/references/shells/footnotes.html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1 - Description of County and Reporting Entity</dc:title>
  <dc:subject/>
  <dc:creator>CAWilson@ohioauditor.gov</dc:creator>
  <cp:keywords/>
  <cp:lastModifiedBy>Tracie L. McCreary</cp:lastModifiedBy>
  <cp:revision>97</cp:revision>
  <cp:lastPrinted>2017-10-19T18:46:00Z</cp:lastPrinted>
  <dcterms:created xsi:type="dcterms:W3CDTF">2024-10-24T17:13:00Z</dcterms:created>
  <dcterms:modified xsi:type="dcterms:W3CDTF">2025-01-16T02:13:00Z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