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EEE9" w14:textId="0CEE61B2" w:rsidR="00EE3736" w:rsidRDefault="00EE3736" w:rsidP="006A349F">
      <w:pPr>
        <w:tabs>
          <w:tab w:val="center" w:pos="4500"/>
        </w:tabs>
        <w:jc w:val="center"/>
        <w:rPr>
          <w:b/>
          <w:bCs/>
          <w:color w:val="1F497D" w:themeColor="text2"/>
          <w:szCs w:val="20"/>
        </w:rPr>
      </w:pPr>
      <w:r>
        <w:rPr>
          <w:b/>
          <w:bCs/>
          <w:color w:val="1F497D" w:themeColor="text2"/>
          <w:szCs w:val="20"/>
        </w:rPr>
        <w:t xml:space="preserve">Revised </w:t>
      </w:r>
      <w:r w:rsidR="004E050C">
        <w:rPr>
          <w:b/>
          <w:bCs/>
          <w:color w:val="1F497D" w:themeColor="text2"/>
          <w:szCs w:val="20"/>
        </w:rPr>
        <w:t>May 2025</w:t>
      </w:r>
      <w:r w:rsidR="00EA29A8">
        <w:rPr>
          <w:rStyle w:val="EndnoteReference"/>
          <w:b/>
          <w:bCs/>
          <w:color w:val="1F497D" w:themeColor="text2"/>
          <w:szCs w:val="20"/>
        </w:rPr>
        <w:endnoteReference w:id="1"/>
      </w:r>
    </w:p>
    <w:p w14:paraId="3C4321D5" w14:textId="77777777" w:rsidR="00EE3736" w:rsidRDefault="00EE3736" w:rsidP="007B0B90">
      <w:pPr>
        <w:tabs>
          <w:tab w:val="center" w:pos="4680"/>
        </w:tabs>
        <w:rPr>
          <w:sz w:val="28"/>
          <w:szCs w:val="28"/>
        </w:rPr>
      </w:pPr>
    </w:p>
    <w:p w14:paraId="7675C344" w14:textId="77777777" w:rsidR="00CB5DDA" w:rsidRPr="002508DE" w:rsidRDefault="00130D30" w:rsidP="002508DE">
      <w:pPr>
        <w:jc w:val="center"/>
        <w:rPr>
          <w:b/>
        </w:rPr>
      </w:pPr>
      <w:r w:rsidRPr="002508DE">
        <w:rPr>
          <w:b/>
          <w:sz w:val="28"/>
          <w:szCs w:val="28"/>
        </w:rPr>
        <w:t>Client Letterhead</w:t>
      </w:r>
      <w:r w:rsidR="007B2AAA" w:rsidRPr="002508DE">
        <w:rPr>
          <w:b/>
          <w:sz w:val="28"/>
          <w:szCs w:val="28"/>
        </w:rPr>
        <w:t xml:space="preserve"> </w:t>
      </w:r>
      <w:r w:rsidR="007B2AAA" w:rsidRPr="002508DE">
        <w:rPr>
          <w:rStyle w:val="EndnoteReference"/>
          <w:b/>
          <w:sz w:val="28"/>
          <w:szCs w:val="28"/>
        </w:rPr>
        <w:endnoteReference w:id="2"/>
      </w:r>
    </w:p>
    <w:p w14:paraId="1ED0EE35" w14:textId="77777777" w:rsidR="002508DE" w:rsidRDefault="002508DE" w:rsidP="007B0B90">
      <w:pPr>
        <w:jc w:val="center"/>
        <w:rPr>
          <w:b/>
          <w:bCs/>
          <w:szCs w:val="20"/>
        </w:rPr>
      </w:pPr>
    </w:p>
    <w:p w14:paraId="504F2D50" w14:textId="77777777" w:rsidR="00CB5DDA" w:rsidRDefault="007E6B22" w:rsidP="007B0B90">
      <w:pPr>
        <w:jc w:val="center"/>
        <w:rPr>
          <w:szCs w:val="20"/>
        </w:rPr>
      </w:pPr>
      <w:r>
        <w:rPr>
          <w:b/>
          <w:bCs/>
          <w:szCs w:val="20"/>
        </w:rPr>
        <w:t xml:space="preserve">SUMMARY </w:t>
      </w:r>
      <w:r w:rsidR="00CB5DDA">
        <w:rPr>
          <w:b/>
          <w:bCs/>
          <w:szCs w:val="20"/>
        </w:rPr>
        <w:t xml:space="preserve">SCHEDULE OF PRIOR AUDIT FINDINGS </w:t>
      </w:r>
      <w:r w:rsidR="00EE3736">
        <w:rPr>
          <w:b/>
          <w:bCs/>
          <w:szCs w:val="20"/>
        </w:rPr>
        <w:t>[</w:t>
      </w:r>
      <w:r w:rsidR="00CB5DDA">
        <w:rPr>
          <w:b/>
          <w:bCs/>
          <w:szCs w:val="20"/>
        </w:rPr>
        <w:t>AND QUESTIONED COSTS</w:t>
      </w:r>
      <w:r w:rsidR="00EE3736">
        <w:rPr>
          <w:b/>
          <w:bCs/>
          <w:szCs w:val="20"/>
        </w:rPr>
        <w:t>]</w:t>
      </w:r>
    </w:p>
    <w:p w14:paraId="088A2989" w14:textId="5817A0C2" w:rsidR="00F1125C" w:rsidRPr="00CF3F23" w:rsidRDefault="003E1E3A" w:rsidP="007B0B90">
      <w:pPr>
        <w:jc w:val="center"/>
        <w:rPr>
          <w:b/>
          <w:color w:val="FF0000"/>
          <w:szCs w:val="20"/>
        </w:rPr>
      </w:pPr>
      <w:r>
        <w:rPr>
          <w:b/>
          <w:bCs/>
          <w:iCs/>
          <w:szCs w:val="20"/>
        </w:rPr>
        <w:t>2 CFR</w:t>
      </w:r>
      <w:r w:rsidR="004E050C">
        <w:rPr>
          <w:b/>
          <w:bCs/>
          <w:iCs/>
          <w:szCs w:val="20"/>
        </w:rPr>
        <w:t xml:space="preserve"> </w:t>
      </w:r>
      <w:r w:rsidR="004E050C" w:rsidRPr="004E050C">
        <w:rPr>
          <w:b/>
          <w:bCs/>
          <w:iCs/>
          <w:szCs w:val="20"/>
        </w:rPr>
        <w:t>§</w:t>
      </w:r>
      <w:r>
        <w:rPr>
          <w:b/>
          <w:bCs/>
          <w:iCs/>
          <w:szCs w:val="20"/>
        </w:rPr>
        <w:t xml:space="preserve"> 200.511(b)</w:t>
      </w:r>
      <w:r w:rsidR="00C2216C">
        <w:rPr>
          <w:rStyle w:val="FootnoteReference"/>
          <w:szCs w:val="20"/>
          <w:vertAlign w:val="superscript"/>
        </w:rPr>
        <w:t xml:space="preserve"> </w:t>
      </w:r>
      <w:r w:rsidR="00F1125C" w:rsidRPr="00170E06">
        <w:rPr>
          <w:rStyle w:val="EndnoteReference"/>
          <w:b/>
          <w:bCs/>
          <w:szCs w:val="20"/>
        </w:rPr>
        <w:endnoteReference w:id="3"/>
      </w:r>
      <w:r w:rsidR="00F1125C" w:rsidRPr="00170E06">
        <w:rPr>
          <w:b/>
          <w:bCs/>
          <w:iCs/>
          <w:szCs w:val="20"/>
          <w:vertAlign w:val="superscript"/>
        </w:rPr>
        <w:t>,</w:t>
      </w:r>
      <w:r w:rsidR="001176F7" w:rsidRPr="00170E06">
        <w:rPr>
          <w:b/>
          <w:bCs/>
          <w:iCs/>
          <w:szCs w:val="20"/>
          <w:vertAlign w:val="superscript"/>
        </w:rPr>
        <w:t xml:space="preserve"> </w:t>
      </w:r>
      <w:r w:rsidR="00F1125C" w:rsidRPr="00170E06">
        <w:rPr>
          <w:rStyle w:val="EndnoteReference"/>
          <w:b/>
          <w:bCs/>
          <w:iCs/>
          <w:szCs w:val="20"/>
        </w:rPr>
        <w:endnoteReference w:id="4"/>
      </w:r>
      <w:r w:rsidR="00F1125C" w:rsidRPr="00170E06">
        <w:rPr>
          <w:b/>
          <w:bCs/>
          <w:iCs/>
          <w:szCs w:val="20"/>
          <w:vertAlign w:val="superscript"/>
        </w:rPr>
        <w:t xml:space="preserve">, </w:t>
      </w:r>
      <w:r w:rsidR="00F1125C" w:rsidRPr="00170E06">
        <w:rPr>
          <w:rStyle w:val="EndnoteReference"/>
          <w:b/>
          <w:bCs/>
          <w:szCs w:val="20"/>
        </w:rPr>
        <w:endnoteReference w:id="5"/>
      </w:r>
    </w:p>
    <w:p w14:paraId="37682D95" w14:textId="77777777" w:rsidR="00F1125C" w:rsidRDefault="00F1125C" w:rsidP="007B0B90">
      <w:pPr>
        <w:tabs>
          <w:tab w:val="center" w:pos="4680"/>
        </w:tabs>
        <w:rPr>
          <w:b/>
          <w:bCs/>
          <w:szCs w:val="20"/>
        </w:rPr>
      </w:pPr>
      <w:r>
        <w:rPr>
          <w:b/>
          <w:bCs/>
          <w:szCs w:val="20"/>
        </w:rPr>
        <w:tab/>
        <w:t>[FYE DATE]</w:t>
      </w:r>
    </w:p>
    <w:p w14:paraId="32A98B8A" w14:textId="77777777" w:rsidR="00F1125C" w:rsidRDefault="00F1125C" w:rsidP="007B0B90">
      <w:pPr>
        <w:jc w:val="center"/>
        <w:rPr>
          <w:szCs w:val="20"/>
        </w:rPr>
      </w:pPr>
    </w:p>
    <w:p w14:paraId="2D5B01E1" w14:textId="77777777" w:rsidR="00F1125C" w:rsidRDefault="00F1125C" w:rsidP="007B0B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279"/>
        <w:gridCol w:w="2532"/>
        <w:gridCol w:w="1297"/>
        <w:gridCol w:w="3557"/>
      </w:tblGrid>
      <w:tr w:rsidR="00D73B69" w14:paraId="5D1314A4" w14:textId="77777777" w:rsidTr="00D73B69">
        <w:tc>
          <w:tcPr>
            <w:tcW w:w="1279" w:type="dxa"/>
            <w:tcBorders>
              <w:bottom w:val="double" w:sz="6" w:space="0" w:color="auto"/>
            </w:tcBorders>
            <w:vAlign w:val="bottom"/>
          </w:tcPr>
          <w:p w14:paraId="1763D8ED" w14:textId="77777777" w:rsidR="00D73B69" w:rsidRPr="00282CCA" w:rsidRDefault="00D73B69" w:rsidP="007A79E6">
            <w:pPr>
              <w:jc w:val="left"/>
              <w:rPr>
                <w:b/>
              </w:rPr>
            </w:pPr>
            <w:r w:rsidRPr="00282CCA">
              <w:rPr>
                <w:b/>
              </w:rPr>
              <w:t>Finding</w:t>
            </w:r>
          </w:p>
          <w:p w14:paraId="6C85BACF" w14:textId="77777777" w:rsidR="00D73B69" w:rsidRPr="00282CCA" w:rsidRDefault="00D73B69" w:rsidP="007A79E6">
            <w:pPr>
              <w:jc w:val="left"/>
              <w:rPr>
                <w:b/>
              </w:rPr>
            </w:pPr>
            <w:r w:rsidRPr="00282CCA">
              <w:rPr>
                <w:b/>
              </w:rPr>
              <w:t>Number</w:t>
            </w:r>
            <w:r>
              <w:rPr>
                <w:b/>
              </w:rPr>
              <w:t xml:space="preserve"> </w:t>
            </w:r>
          </w:p>
        </w:tc>
        <w:tc>
          <w:tcPr>
            <w:tcW w:w="2532" w:type="dxa"/>
            <w:tcBorders>
              <w:bottom w:val="double" w:sz="6" w:space="0" w:color="auto"/>
            </w:tcBorders>
            <w:vAlign w:val="bottom"/>
          </w:tcPr>
          <w:p w14:paraId="615C98AC" w14:textId="77777777" w:rsidR="00D73B69" w:rsidRPr="00282CCA" w:rsidRDefault="00D73B69" w:rsidP="007A79E6">
            <w:pPr>
              <w:jc w:val="left"/>
              <w:rPr>
                <w:b/>
              </w:rPr>
            </w:pPr>
            <w:r w:rsidRPr="00282CCA">
              <w:rPr>
                <w:b/>
              </w:rPr>
              <w:t>Finding</w:t>
            </w:r>
          </w:p>
          <w:p w14:paraId="3859F9E4" w14:textId="77777777" w:rsidR="00D73B69" w:rsidRPr="00282CCA" w:rsidRDefault="00D73B69" w:rsidP="00D73B69">
            <w:pPr>
              <w:jc w:val="left"/>
              <w:rPr>
                <w:b/>
              </w:rPr>
            </w:pPr>
            <w:r w:rsidRPr="00282CCA">
              <w:rPr>
                <w:b/>
              </w:rPr>
              <w:t>Summary</w:t>
            </w:r>
            <w:r>
              <w:rPr>
                <w:b/>
              </w:rPr>
              <w:t xml:space="preserve"> </w:t>
            </w:r>
          </w:p>
        </w:tc>
        <w:tc>
          <w:tcPr>
            <w:tcW w:w="1297" w:type="dxa"/>
            <w:tcBorders>
              <w:bottom w:val="double" w:sz="6" w:space="0" w:color="auto"/>
            </w:tcBorders>
            <w:vAlign w:val="bottom"/>
          </w:tcPr>
          <w:p w14:paraId="6ED47FE2" w14:textId="77777777" w:rsidR="00D73B69" w:rsidRPr="00282CCA" w:rsidRDefault="00D73B69" w:rsidP="007A79E6">
            <w:pPr>
              <w:jc w:val="left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3557" w:type="dxa"/>
            <w:tcBorders>
              <w:bottom w:val="double" w:sz="6" w:space="0" w:color="auto"/>
            </w:tcBorders>
          </w:tcPr>
          <w:p w14:paraId="693AFC0F" w14:textId="77777777" w:rsidR="00D73B69" w:rsidRDefault="00D73B69" w:rsidP="008668F7">
            <w:pPr>
              <w:jc w:val="left"/>
              <w:rPr>
                <w:b/>
                <w:szCs w:val="20"/>
              </w:rPr>
            </w:pPr>
          </w:p>
          <w:p w14:paraId="16E4A823" w14:textId="77777777" w:rsidR="00D73B69" w:rsidRPr="00282CCA" w:rsidRDefault="00D73B69" w:rsidP="008668F7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Additional Information</w:t>
            </w:r>
          </w:p>
        </w:tc>
      </w:tr>
      <w:tr w:rsidR="00D73B69" w14:paraId="4AF9D257" w14:textId="77777777" w:rsidTr="00D73B69">
        <w:tc>
          <w:tcPr>
            <w:tcW w:w="1279" w:type="dxa"/>
            <w:tcBorders>
              <w:top w:val="double" w:sz="6" w:space="0" w:color="auto"/>
              <w:bottom w:val="single" w:sz="4" w:space="0" w:color="auto"/>
            </w:tcBorders>
          </w:tcPr>
          <w:p w14:paraId="400BADD2" w14:textId="77777777" w:rsidR="00D73B69" w:rsidRDefault="00D73B69" w:rsidP="00E23186">
            <w:pPr>
              <w:jc w:val="left"/>
            </w:pPr>
            <w:r w:rsidRPr="007A79E6">
              <w:rPr>
                <w:rStyle w:val="EndnoteReference"/>
                <w:szCs w:val="20"/>
              </w:rPr>
              <w:endnoteReference w:id="6"/>
            </w:r>
          </w:p>
        </w:tc>
        <w:tc>
          <w:tcPr>
            <w:tcW w:w="2532" w:type="dxa"/>
            <w:tcBorders>
              <w:top w:val="double" w:sz="6" w:space="0" w:color="auto"/>
              <w:bottom w:val="single" w:sz="4" w:space="0" w:color="auto"/>
            </w:tcBorders>
          </w:tcPr>
          <w:p w14:paraId="1B182DC1" w14:textId="162D9558" w:rsidR="00D73B69" w:rsidRDefault="00D73B69" w:rsidP="007A79E6">
            <w:pPr>
              <w:jc w:val="left"/>
            </w:pPr>
            <w:r w:rsidRPr="007A79E6">
              <w:rPr>
                <w:rStyle w:val="EndnoteReference"/>
                <w:szCs w:val="20"/>
              </w:rPr>
              <w:endnoteReference w:id="7"/>
            </w:r>
          </w:p>
        </w:tc>
        <w:tc>
          <w:tcPr>
            <w:tcW w:w="1297" w:type="dxa"/>
            <w:tcBorders>
              <w:top w:val="double" w:sz="6" w:space="0" w:color="auto"/>
              <w:bottom w:val="single" w:sz="4" w:space="0" w:color="auto"/>
            </w:tcBorders>
          </w:tcPr>
          <w:p w14:paraId="099FFE23" w14:textId="3C767882" w:rsidR="00D73B69" w:rsidRPr="00C16A48" w:rsidRDefault="00D73B69" w:rsidP="007A79E6">
            <w:pPr>
              <w:jc w:val="left"/>
              <w:rPr>
                <w:vertAlign w:val="superscript"/>
              </w:rPr>
            </w:pPr>
            <w:r>
              <w:rPr>
                <w:rStyle w:val="EndnoteReference"/>
              </w:rPr>
              <w:endnoteReference w:id="8"/>
            </w:r>
            <w:r>
              <w:rPr>
                <w:vertAlign w:val="superscript"/>
              </w:rPr>
              <w:t xml:space="preserve">, </w:t>
            </w:r>
            <w:r w:rsidRPr="00C16A48">
              <w:rPr>
                <w:rStyle w:val="EndnoteReference"/>
              </w:rPr>
              <w:endnoteReference w:id="9"/>
            </w:r>
            <w:r w:rsidR="00686267">
              <w:rPr>
                <w:vertAlign w:val="superscript"/>
              </w:rPr>
              <w:t xml:space="preserve">, </w:t>
            </w:r>
            <w:r w:rsidR="00686267">
              <w:rPr>
                <w:rStyle w:val="EndnoteReference"/>
              </w:rPr>
              <w:endnoteReference w:id="10"/>
            </w:r>
          </w:p>
        </w:tc>
        <w:tc>
          <w:tcPr>
            <w:tcW w:w="3557" w:type="dxa"/>
            <w:tcBorders>
              <w:top w:val="double" w:sz="6" w:space="0" w:color="auto"/>
              <w:bottom w:val="single" w:sz="4" w:space="0" w:color="auto"/>
            </w:tcBorders>
          </w:tcPr>
          <w:p w14:paraId="59E540F5" w14:textId="77777777" w:rsidR="00D73B69" w:rsidRPr="007A79E6" w:rsidRDefault="00D73B69" w:rsidP="00D73B69">
            <w:pPr>
              <w:jc w:val="left"/>
              <w:rPr>
                <w:rStyle w:val="EndnoteReference"/>
                <w:szCs w:val="20"/>
              </w:rPr>
            </w:pPr>
            <w:r>
              <w:rPr>
                <w:rStyle w:val="EndnoteReference"/>
                <w:szCs w:val="20"/>
              </w:rPr>
              <w:endnoteReference w:id="11"/>
            </w:r>
            <w:r>
              <w:rPr>
                <w:rStyle w:val="EndnoteReference"/>
                <w:szCs w:val="20"/>
              </w:rPr>
              <w:t xml:space="preserve">,  </w:t>
            </w:r>
            <w:r>
              <w:rPr>
                <w:rStyle w:val="EndnoteReference"/>
                <w:szCs w:val="20"/>
              </w:rPr>
              <w:endnoteReference w:id="12"/>
            </w:r>
          </w:p>
        </w:tc>
      </w:tr>
      <w:tr w:rsidR="00D73B69" w14:paraId="1D1490FF" w14:textId="77777777" w:rsidTr="00D73B69"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73D8D" w14:textId="77777777" w:rsidR="00D73B69" w:rsidRDefault="00D73B69" w:rsidP="007A79E6">
            <w:pPr>
              <w:jc w:val="left"/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14448" w14:textId="77777777" w:rsidR="00D73B69" w:rsidRDefault="00D73B69" w:rsidP="007A79E6">
            <w:pPr>
              <w:jc w:val="left"/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553F2" w14:textId="77777777" w:rsidR="00D73B69" w:rsidRDefault="00D73B69" w:rsidP="007A79E6">
            <w:pPr>
              <w:jc w:val="left"/>
            </w:pP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26A4B" w14:textId="77777777" w:rsidR="00D73B69" w:rsidRDefault="00D73B69" w:rsidP="007A79E6">
            <w:pPr>
              <w:jc w:val="left"/>
            </w:pPr>
          </w:p>
        </w:tc>
      </w:tr>
    </w:tbl>
    <w:p w14:paraId="390B40A2" w14:textId="77777777" w:rsidR="003702AE" w:rsidRDefault="003702AE" w:rsidP="00F1125C">
      <w:pPr>
        <w:jc w:val="left"/>
      </w:pPr>
    </w:p>
    <w:p w14:paraId="7FBB50F4" w14:textId="77777777" w:rsidR="00F1125C" w:rsidRDefault="00F1125C" w:rsidP="00F1125C">
      <w:pPr>
        <w:jc w:val="left"/>
      </w:pPr>
    </w:p>
    <w:p w14:paraId="501D9321" w14:textId="77777777" w:rsidR="00F1125C" w:rsidRDefault="00F1125C" w:rsidP="00F1125C">
      <w:pPr>
        <w:jc w:val="left"/>
      </w:pPr>
    </w:p>
    <w:p w14:paraId="19A247CF" w14:textId="77777777" w:rsidR="00F1125C" w:rsidRDefault="00F1125C" w:rsidP="00F1125C">
      <w:pPr>
        <w:jc w:val="left"/>
      </w:pPr>
    </w:p>
    <w:p w14:paraId="01A99C7B" w14:textId="77777777" w:rsidR="00F1125C" w:rsidRDefault="00F1125C" w:rsidP="00F1125C">
      <w:pPr>
        <w:jc w:val="left"/>
      </w:pPr>
    </w:p>
    <w:p w14:paraId="62E4CAB6" w14:textId="77777777" w:rsidR="00F1125C" w:rsidRDefault="00F1125C" w:rsidP="00F1125C">
      <w:pPr>
        <w:jc w:val="left"/>
      </w:pPr>
    </w:p>
    <w:p w14:paraId="7E419283" w14:textId="77777777" w:rsidR="00F1125C" w:rsidRDefault="00F1125C" w:rsidP="00F1125C">
      <w:pPr>
        <w:jc w:val="left"/>
      </w:pPr>
    </w:p>
    <w:p w14:paraId="349EB48F" w14:textId="77777777" w:rsidR="00F1125C" w:rsidRDefault="00F1125C" w:rsidP="00F1125C">
      <w:pPr>
        <w:jc w:val="left"/>
      </w:pPr>
    </w:p>
    <w:p w14:paraId="4781AD49" w14:textId="77777777" w:rsidR="00F1125C" w:rsidRDefault="00F1125C" w:rsidP="00F1125C">
      <w:pPr>
        <w:jc w:val="left"/>
      </w:pPr>
    </w:p>
    <w:p w14:paraId="54E1B378" w14:textId="77777777" w:rsidR="00F1125C" w:rsidRDefault="00F1125C" w:rsidP="00F1125C">
      <w:pPr>
        <w:jc w:val="left"/>
      </w:pPr>
    </w:p>
    <w:p w14:paraId="71AED649" w14:textId="77777777" w:rsidR="00F1125C" w:rsidRDefault="00F1125C" w:rsidP="00F1125C">
      <w:pPr>
        <w:jc w:val="left"/>
      </w:pPr>
    </w:p>
    <w:p w14:paraId="5B5FAA99" w14:textId="77777777" w:rsidR="00F1125C" w:rsidRDefault="00F1125C" w:rsidP="00F1125C">
      <w:pPr>
        <w:jc w:val="left"/>
      </w:pPr>
    </w:p>
    <w:p w14:paraId="0020A7FF" w14:textId="77777777" w:rsidR="00F1125C" w:rsidRDefault="00F1125C" w:rsidP="00F1125C">
      <w:pPr>
        <w:jc w:val="left"/>
      </w:pPr>
    </w:p>
    <w:sectPr w:rsidR="00F1125C" w:rsidSect="00411E72">
      <w:endnotePr>
        <w:numFmt w:val="decimal"/>
      </w:endnotePr>
      <w:pgSz w:w="12240" w:h="15840" w:code="1"/>
      <w:pgMar w:top="72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2530" w14:textId="77777777" w:rsidR="00A5312D" w:rsidRDefault="00A5312D">
      <w:r>
        <w:separator/>
      </w:r>
    </w:p>
  </w:endnote>
  <w:endnote w:type="continuationSeparator" w:id="0">
    <w:p w14:paraId="221D4347" w14:textId="77777777" w:rsidR="00A5312D" w:rsidRDefault="00A5312D">
      <w:r>
        <w:continuationSeparator/>
      </w:r>
    </w:p>
  </w:endnote>
  <w:endnote w:id="1">
    <w:p w14:paraId="4DD94D3F" w14:textId="3F143F38" w:rsidR="00EA29A8" w:rsidRDefault="00EA29A8" w:rsidP="00EA29A8">
      <w:pPr>
        <w:pStyle w:val="EndnoteText"/>
        <w:tabs>
          <w:tab w:val="left" w:pos="540"/>
        </w:tabs>
      </w:pPr>
      <w:r>
        <w:rPr>
          <w:rStyle w:val="EndnoteReference"/>
        </w:rPr>
        <w:endnoteRef/>
      </w:r>
      <w:r>
        <w:t xml:space="preserve"> </w:t>
      </w:r>
      <w:r>
        <w:tab/>
        <w:t xml:space="preserve">Revised for minor updates, updates </w:t>
      </w:r>
      <w:r w:rsidR="00A07177">
        <w:t xml:space="preserve">are </w:t>
      </w:r>
      <w:r>
        <w:t xml:space="preserve">not </w:t>
      </w:r>
      <w:r w:rsidR="00A07177">
        <w:t>marked</w:t>
      </w:r>
      <w:r>
        <w:t>.</w:t>
      </w:r>
    </w:p>
    <w:p w14:paraId="6B76A2BE" w14:textId="77777777" w:rsidR="00A21DB3" w:rsidRDefault="00A21DB3" w:rsidP="00EA29A8">
      <w:pPr>
        <w:pStyle w:val="EndnoteText"/>
        <w:tabs>
          <w:tab w:val="left" w:pos="540"/>
        </w:tabs>
      </w:pPr>
    </w:p>
  </w:endnote>
  <w:endnote w:id="2">
    <w:p w14:paraId="04BD0BF5" w14:textId="12674787" w:rsidR="007B2AAA" w:rsidRDefault="007B2AAA" w:rsidP="007B2AAA">
      <w:pPr>
        <w:pStyle w:val="EndnoteText"/>
        <w:tabs>
          <w:tab w:val="left" w:pos="540"/>
        </w:tabs>
        <w:ind w:left="540" w:hanging="540"/>
        <w:rPr>
          <w:color w:val="000000"/>
        </w:rPr>
      </w:pPr>
      <w:r>
        <w:rPr>
          <w:rStyle w:val="EndnoteReference"/>
        </w:rPr>
        <w:endnoteRef/>
      </w:r>
      <w:r>
        <w:t xml:space="preserve"> </w:t>
      </w:r>
      <w:r>
        <w:tab/>
      </w:r>
      <w:r w:rsidR="00A14DBA">
        <w:rPr>
          <w:color w:val="000000"/>
        </w:rPr>
        <w:t xml:space="preserve">2 CFR </w:t>
      </w:r>
      <w:r w:rsidRPr="007B2AAA">
        <w:rPr>
          <w:color w:val="000000"/>
        </w:rPr>
        <w:t>§</w:t>
      </w:r>
      <w:r w:rsidR="00E00E3D">
        <w:rPr>
          <w:color w:val="000000"/>
        </w:rPr>
        <w:t xml:space="preserve"> </w:t>
      </w:r>
      <w:r w:rsidRPr="007B2AAA">
        <w:rPr>
          <w:color w:val="000000"/>
        </w:rPr>
        <w:t>200.511 states that the auditee must prepare the</w:t>
      </w:r>
      <w:r w:rsidR="002508DE">
        <w:rPr>
          <w:color w:val="000000"/>
        </w:rPr>
        <w:t xml:space="preserve"> </w:t>
      </w:r>
      <w:r w:rsidRPr="007B2AAA">
        <w:rPr>
          <w:color w:val="000000"/>
        </w:rPr>
        <w:t>summary schedule of prior audit findings and the corrective action plan.</w:t>
      </w:r>
      <w:r w:rsidR="002508DE">
        <w:rPr>
          <w:color w:val="000000"/>
        </w:rPr>
        <w:t xml:space="preserve"> </w:t>
      </w:r>
      <w:r w:rsidRPr="007B2AAA">
        <w:rPr>
          <w:color w:val="000000"/>
        </w:rPr>
        <w:t>The auditee must submit the corrective action plan on auditee</w:t>
      </w:r>
      <w:r w:rsidR="002508DE">
        <w:rPr>
          <w:color w:val="000000"/>
        </w:rPr>
        <w:t xml:space="preserve"> </w:t>
      </w:r>
      <w:r w:rsidRPr="007B2AAA">
        <w:rPr>
          <w:color w:val="000000"/>
        </w:rPr>
        <w:t>letterhead</w:t>
      </w:r>
      <w:r>
        <w:rPr>
          <w:color w:val="000000"/>
        </w:rPr>
        <w:t>.</w:t>
      </w:r>
      <w:r w:rsidR="002508DE" w:rsidRPr="002508DE">
        <w:t xml:space="preserve"> </w:t>
      </w:r>
      <w:r w:rsidR="002508DE" w:rsidRPr="002508DE">
        <w:rPr>
          <w:color w:val="000000"/>
        </w:rPr>
        <w:t xml:space="preserve">(See </w:t>
      </w:r>
      <w:hyperlink r:id="rId1" w:history="1">
        <w:r w:rsidR="00A14DBA" w:rsidRPr="00EA29A8">
          <w:rPr>
            <w:rStyle w:val="Hyperlink"/>
          </w:rPr>
          <w:t xml:space="preserve">UG </w:t>
        </w:r>
        <w:r w:rsidR="002508DE" w:rsidRPr="00EA29A8">
          <w:rPr>
            <w:rStyle w:val="Hyperlink"/>
          </w:rPr>
          <w:t>FAQ's</w:t>
        </w:r>
      </w:hyperlink>
      <w:r w:rsidR="002508DE" w:rsidRPr="002508DE">
        <w:rPr>
          <w:color w:val="000000"/>
        </w:rPr>
        <w:t xml:space="preserve"> dated </w:t>
      </w:r>
      <w:r w:rsidR="00BD308B">
        <w:rPr>
          <w:color w:val="000000"/>
        </w:rPr>
        <w:t>May 2021</w:t>
      </w:r>
      <w:r w:rsidR="002508DE" w:rsidRPr="002508DE">
        <w:rPr>
          <w:color w:val="000000"/>
        </w:rPr>
        <w:t>)</w:t>
      </w:r>
    </w:p>
    <w:p w14:paraId="74FFB557" w14:textId="77777777" w:rsidR="00A14DBA" w:rsidRDefault="00A14DBA" w:rsidP="007B2AAA">
      <w:pPr>
        <w:pStyle w:val="EndnoteText"/>
        <w:tabs>
          <w:tab w:val="left" w:pos="540"/>
        </w:tabs>
        <w:ind w:left="540" w:hanging="540"/>
        <w:rPr>
          <w:color w:val="000000"/>
        </w:rPr>
      </w:pPr>
    </w:p>
    <w:p w14:paraId="10DCB0F6" w14:textId="28BF1140" w:rsidR="00A14DBA" w:rsidRPr="007B2AAA" w:rsidRDefault="00A14DBA" w:rsidP="007B2AAA">
      <w:pPr>
        <w:pStyle w:val="EndnoteText"/>
        <w:tabs>
          <w:tab w:val="left" w:pos="540"/>
        </w:tabs>
        <w:ind w:left="540" w:hanging="540"/>
      </w:pPr>
      <w:r>
        <w:rPr>
          <w:color w:val="000000"/>
        </w:rPr>
        <w:tab/>
        <w:t xml:space="preserve">Auditors should maintain documentation </w:t>
      </w:r>
      <w:r>
        <w:t>in their working papers of receipt of the Schedule, including date and person at the entity providing the Schedule.</w:t>
      </w:r>
    </w:p>
    <w:p w14:paraId="638063EF" w14:textId="77777777" w:rsidR="007B2AAA" w:rsidRPr="007B2AAA" w:rsidRDefault="007B2AAA">
      <w:pPr>
        <w:pStyle w:val="EndnoteText"/>
      </w:pPr>
    </w:p>
  </w:endnote>
  <w:endnote w:id="3">
    <w:p w14:paraId="0B104F3F" w14:textId="77777777" w:rsidR="00F1125C" w:rsidRDefault="00F1125C" w:rsidP="004536DB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  <w:r w:rsidRPr="00C51093">
        <w:rPr>
          <w:rStyle w:val="EndnoteReference"/>
          <w:szCs w:val="20"/>
        </w:rPr>
        <w:endnoteRef/>
      </w:r>
      <w:r w:rsidRPr="00C51093">
        <w:rPr>
          <w:szCs w:val="20"/>
        </w:rPr>
        <w:tab/>
      </w:r>
      <w:r>
        <w:rPr>
          <w:szCs w:val="20"/>
        </w:rPr>
        <w:t xml:space="preserve">This is an </w:t>
      </w:r>
      <w:r w:rsidRPr="00BD7040">
        <w:rPr>
          <w:b/>
          <w:szCs w:val="20"/>
        </w:rPr>
        <w:t>auditee-prepared</w:t>
      </w:r>
      <w:r w:rsidRPr="00C2216C">
        <w:rPr>
          <w:szCs w:val="20"/>
        </w:rPr>
        <w:t xml:space="preserve"> schedule report</w:t>
      </w:r>
      <w:r>
        <w:rPr>
          <w:szCs w:val="20"/>
        </w:rPr>
        <w:t>ing</w:t>
      </w:r>
      <w:r w:rsidRPr="00C2216C">
        <w:rPr>
          <w:szCs w:val="20"/>
        </w:rPr>
        <w:t xml:space="preserve"> results of corrective actions taken or not taken on prior audit findings</w:t>
      </w:r>
      <w:r>
        <w:rPr>
          <w:szCs w:val="20"/>
        </w:rPr>
        <w:t xml:space="preserve">.  This </w:t>
      </w:r>
      <w:r w:rsidRPr="00C51093">
        <w:rPr>
          <w:szCs w:val="20"/>
        </w:rPr>
        <w:t xml:space="preserve">example includes all the required </w:t>
      </w:r>
      <w:r w:rsidRPr="00CC2EBE">
        <w:rPr>
          <w:szCs w:val="20"/>
        </w:rPr>
        <w:t>elements</w:t>
      </w:r>
      <w:r w:rsidRPr="00C51093">
        <w:rPr>
          <w:szCs w:val="20"/>
        </w:rPr>
        <w:t xml:space="preserve"> for this schedule, but the client can deviate from this </w:t>
      </w:r>
      <w:r w:rsidRPr="00CC2EBE">
        <w:rPr>
          <w:szCs w:val="20"/>
        </w:rPr>
        <w:t>format</w:t>
      </w:r>
      <w:r w:rsidRPr="00C51093">
        <w:rPr>
          <w:szCs w:val="20"/>
        </w:rPr>
        <w:t xml:space="preserve"> if they choose.</w:t>
      </w:r>
    </w:p>
    <w:p w14:paraId="0BBCE454" w14:textId="77777777" w:rsidR="00F1125C" w:rsidRDefault="00F1125C" w:rsidP="002F15B2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</w:p>
    <w:p w14:paraId="68903475" w14:textId="26D4EF48" w:rsidR="00F1125C" w:rsidRPr="003E649B" w:rsidRDefault="00741F85" w:rsidP="003E649B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  <w:r>
        <w:rPr>
          <w:szCs w:val="20"/>
        </w:rPr>
        <w:tab/>
      </w:r>
      <w:r w:rsidR="00F1125C">
        <w:rPr>
          <w:szCs w:val="20"/>
        </w:rPr>
        <w:t xml:space="preserve">See 2 CFR 200.508(c), 200.511, 200.514(e) &amp; 200.516(a)(7).  </w:t>
      </w:r>
      <w:r w:rsidR="00E55853">
        <w:rPr>
          <w:szCs w:val="20"/>
        </w:rPr>
        <w:t>AOS auditors also refer to AOSAM 34900.</w:t>
      </w:r>
      <w:r w:rsidR="00E81F31">
        <w:rPr>
          <w:szCs w:val="20"/>
        </w:rPr>
        <w:t xml:space="preserve">14 </w:t>
      </w:r>
      <w:r w:rsidR="00E55853">
        <w:rPr>
          <w:szCs w:val="20"/>
        </w:rPr>
        <w:t>- .</w:t>
      </w:r>
      <w:r w:rsidR="00E81F31">
        <w:rPr>
          <w:szCs w:val="20"/>
        </w:rPr>
        <w:t>15</w:t>
      </w:r>
      <w:r w:rsidR="00E55853">
        <w:rPr>
          <w:szCs w:val="20"/>
        </w:rPr>
        <w:t xml:space="preserve">. </w:t>
      </w:r>
      <w:r w:rsidR="00F1125C">
        <w:rPr>
          <w:color w:val="000000"/>
          <w:szCs w:val="20"/>
        </w:rPr>
        <w:t xml:space="preserve"> </w:t>
      </w:r>
    </w:p>
    <w:p w14:paraId="7F396829" w14:textId="77777777" w:rsidR="00E55853" w:rsidRDefault="00E55853" w:rsidP="00CC5ABC">
      <w:pPr>
        <w:widowControl/>
        <w:rPr>
          <w:color w:val="000000"/>
          <w:szCs w:val="20"/>
        </w:rPr>
      </w:pPr>
    </w:p>
    <w:p w14:paraId="20C4A1B4" w14:textId="5C16A3E7" w:rsidR="00E55853" w:rsidRDefault="00E55853" w:rsidP="00CC5ABC">
      <w:pPr>
        <w:pStyle w:val="ListParagraph"/>
        <w:widowControl/>
        <w:numPr>
          <w:ilvl w:val="0"/>
          <w:numId w:val="6"/>
        </w:numPr>
        <w:ind w:left="900"/>
        <w:rPr>
          <w:color w:val="000000"/>
          <w:szCs w:val="20"/>
        </w:rPr>
      </w:pPr>
      <w:r w:rsidRPr="00E55853">
        <w:rPr>
          <w:color w:val="000000"/>
          <w:szCs w:val="20"/>
        </w:rPr>
        <w:t>Auditee prepares Schedule of Prior Audit Findings to report the status of all prior-audit Single Audit and GAGAS level significant deficiencies, material weaknesses and noncompliance</w:t>
      </w:r>
      <w:r>
        <w:rPr>
          <w:color w:val="000000"/>
          <w:szCs w:val="20"/>
        </w:rPr>
        <w:t xml:space="preserve"> </w:t>
      </w:r>
      <w:r w:rsidRPr="00E55853">
        <w:rPr>
          <w:color w:val="000000"/>
          <w:szCs w:val="20"/>
        </w:rPr>
        <w:t>findings. (2 CFR 200.511)</w:t>
      </w:r>
    </w:p>
    <w:p w14:paraId="327C3495" w14:textId="1CAB3CA6" w:rsidR="00F1125C" w:rsidRDefault="00E55853" w:rsidP="00CC5ABC">
      <w:pPr>
        <w:pStyle w:val="ListParagraph"/>
        <w:widowControl/>
        <w:numPr>
          <w:ilvl w:val="0"/>
          <w:numId w:val="6"/>
        </w:numPr>
        <w:ind w:left="900"/>
        <w:rPr>
          <w:color w:val="000000"/>
          <w:szCs w:val="20"/>
        </w:rPr>
      </w:pPr>
      <w:r>
        <w:rPr>
          <w:color w:val="000000"/>
          <w:szCs w:val="20"/>
        </w:rPr>
        <w:t>Auditors</w:t>
      </w:r>
      <w:r w:rsidRPr="00E55853">
        <w:rPr>
          <w:color w:val="000000"/>
          <w:szCs w:val="20"/>
        </w:rPr>
        <w:t xml:space="preserve"> must perform procedures to assess the reasonableness of the Schedule</w:t>
      </w:r>
      <w:r>
        <w:rPr>
          <w:color w:val="000000"/>
          <w:szCs w:val="20"/>
        </w:rPr>
        <w:t xml:space="preserve"> and </w:t>
      </w:r>
      <w:r w:rsidRPr="00E55853">
        <w:rPr>
          <w:color w:val="000000"/>
          <w:szCs w:val="20"/>
        </w:rPr>
        <w:t>report, as a current year finding, when the auditee materially misrepresents the status of any prior audit finding on this Schedule.</w:t>
      </w:r>
      <w:r w:rsidR="00A14DBA">
        <w:rPr>
          <w:color w:val="000000"/>
          <w:szCs w:val="20"/>
        </w:rPr>
        <w:t xml:space="preserve"> (2 CFR 200.514(e))</w:t>
      </w:r>
    </w:p>
    <w:p w14:paraId="61FA08D3" w14:textId="77777777" w:rsidR="00F1125C" w:rsidRPr="00C51093" w:rsidRDefault="00F1125C" w:rsidP="00CC5ABC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</w:p>
  </w:endnote>
  <w:endnote w:id="4">
    <w:p w14:paraId="5031788B" w14:textId="2CF407FB" w:rsidR="00F1125C" w:rsidRDefault="00F1125C" w:rsidP="00741F85">
      <w:pPr>
        <w:pStyle w:val="EndnoteText"/>
        <w:ind w:left="540" w:hanging="540"/>
      </w:pPr>
      <w:r>
        <w:rPr>
          <w:rStyle w:val="EndnoteReference"/>
        </w:rPr>
        <w:endnoteRef/>
      </w:r>
      <w:r w:rsidR="00741F85">
        <w:t xml:space="preserve"> </w:t>
      </w:r>
      <w:r w:rsidR="00741F85">
        <w:tab/>
      </w:r>
      <w:r>
        <w:t xml:space="preserve">This Schedule must also include audit findings reported in the prior audit’s </w:t>
      </w:r>
      <w:r w:rsidRPr="00236EB8">
        <w:rPr>
          <w:i/>
        </w:rPr>
        <w:t>Summary Schedule of Prior Audit Findings</w:t>
      </w:r>
      <w:r>
        <w:t>, unless the findings were corrected, no longer valid, or not warranting further action.  (2 CFR 200.511(b))</w:t>
      </w:r>
      <w:r w:rsidR="00BF6693">
        <w:t>.</w:t>
      </w:r>
      <w:r w:rsidR="009841B6">
        <w:t xml:space="preserve">  </w:t>
      </w:r>
      <w:r w:rsidR="00B134A1" w:rsidRPr="001E5B35">
        <w:t xml:space="preserve">See the Ohio Compliance Supplement (OCS) Implementation Guide at </w:t>
      </w:r>
      <w:hyperlink r:id="rId2" w:history="1">
        <w:r w:rsidR="00B134A1" w:rsidRPr="001E5B35">
          <w:rPr>
            <w:rStyle w:val="Hyperlink"/>
          </w:rPr>
          <w:t>http://www.ohioauditor.gov/references/compliancemanuals.html</w:t>
        </w:r>
      </w:hyperlink>
      <w:r w:rsidR="00B134A1" w:rsidRPr="001E5B35">
        <w:t xml:space="preserve"> for additional information regarding the treatment of prior period uncorrected FFAs.</w:t>
      </w:r>
    </w:p>
    <w:p w14:paraId="14EA49EF" w14:textId="77777777" w:rsidR="00F1125C" w:rsidRDefault="00F1125C" w:rsidP="00CC2EBE">
      <w:pPr>
        <w:pStyle w:val="EndnoteText"/>
        <w:ind w:left="540" w:hanging="540"/>
      </w:pPr>
    </w:p>
  </w:endnote>
  <w:endnote w:id="5">
    <w:p w14:paraId="7B231CB4" w14:textId="041D681A" w:rsidR="00F1125C" w:rsidRPr="00C51093" w:rsidRDefault="00F1125C" w:rsidP="00B24D88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  <w:r w:rsidRPr="00C51093">
        <w:rPr>
          <w:rStyle w:val="EndnoteReference"/>
          <w:szCs w:val="20"/>
        </w:rPr>
        <w:endnoteRef/>
      </w:r>
      <w:r w:rsidRPr="00C51093">
        <w:rPr>
          <w:szCs w:val="20"/>
        </w:rPr>
        <w:tab/>
        <w:t>If there were no questioned costs, delete reference to questioned costs.</w:t>
      </w:r>
    </w:p>
    <w:p w14:paraId="0D111F27" w14:textId="77777777" w:rsidR="00F1125C" w:rsidRPr="00C51093" w:rsidRDefault="00F1125C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</w:p>
  </w:endnote>
  <w:endnote w:id="6">
    <w:p w14:paraId="64E4D516" w14:textId="6B9AAB02" w:rsidR="00D73B69" w:rsidRPr="00C51093" w:rsidRDefault="00D73B69" w:rsidP="00284281">
      <w:pPr>
        <w:tabs>
          <w:tab w:val="left" w:pos="0"/>
          <w:tab w:val="left" w:pos="540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  <w:r w:rsidRPr="00C51093">
        <w:rPr>
          <w:rStyle w:val="EndnoteReference"/>
          <w:szCs w:val="20"/>
        </w:rPr>
        <w:endnoteRef/>
      </w:r>
      <w:r w:rsidRPr="00C51093">
        <w:rPr>
          <w:szCs w:val="20"/>
        </w:rPr>
        <w:tab/>
        <w:t xml:space="preserve">Finding numbers </w:t>
      </w:r>
      <w:r>
        <w:rPr>
          <w:szCs w:val="20"/>
        </w:rPr>
        <w:t>must</w:t>
      </w:r>
      <w:r w:rsidRPr="00C51093">
        <w:rPr>
          <w:szCs w:val="20"/>
        </w:rPr>
        <w:t xml:space="preserve"> correspond to the numbers </w:t>
      </w:r>
      <w:r>
        <w:rPr>
          <w:szCs w:val="20"/>
        </w:rPr>
        <w:t>assigned i</w:t>
      </w:r>
      <w:r w:rsidRPr="00C51093">
        <w:rPr>
          <w:szCs w:val="20"/>
        </w:rPr>
        <w:t xml:space="preserve">n the Schedule of Findings </w:t>
      </w:r>
      <w:r>
        <w:rPr>
          <w:szCs w:val="20"/>
        </w:rPr>
        <w:t>[</w:t>
      </w:r>
      <w:r w:rsidR="007E6BD3">
        <w:rPr>
          <w:szCs w:val="20"/>
        </w:rPr>
        <w:t>and</w:t>
      </w:r>
      <w:r w:rsidRPr="00C51093">
        <w:rPr>
          <w:szCs w:val="20"/>
        </w:rPr>
        <w:t xml:space="preserve"> Questioned Costs</w:t>
      </w:r>
      <w:r>
        <w:rPr>
          <w:szCs w:val="20"/>
        </w:rPr>
        <w:t>]</w:t>
      </w:r>
      <w:r w:rsidRPr="00C51093">
        <w:rPr>
          <w:szCs w:val="20"/>
        </w:rPr>
        <w:t>.</w:t>
      </w:r>
      <w:r>
        <w:rPr>
          <w:szCs w:val="20"/>
        </w:rPr>
        <w:t xml:space="preserve">  Also, since this schedule may include audit findings from multiple years, it must include the fiscal year in which the finding initially occurred. (2 CFR 200.511(a))</w:t>
      </w:r>
    </w:p>
    <w:p w14:paraId="39CF967E" w14:textId="77777777" w:rsidR="00D73B69" w:rsidRPr="00C51093" w:rsidRDefault="00D73B69" w:rsidP="00284281">
      <w:pPr>
        <w:tabs>
          <w:tab w:val="left" w:pos="0"/>
          <w:tab w:val="left" w:pos="540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</w:p>
  </w:endnote>
  <w:endnote w:id="7">
    <w:p w14:paraId="676DC049" w14:textId="77777777" w:rsidR="00D73B69" w:rsidRPr="00C51093" w:rsidRDefault="00D73B69" w:rsidP="00284281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  <w:r w:rsidRPr="00C51093">
        <w:rPr>
          <w:rStyle w:val="EndnoteReference"/>
          <w:szCs w:val="20"/>
        </w:rPr>
        <w:endnoteRef/>
      </w:r>
      <w:r w:rsidRPr="00C51093">
        <w:rPr>
          <w:szCs w:val="20"/>
        </w:rPr>
        <w:t xml:space="preserve"> </w:t>
      </w:r>
      <w:r w:rsidRPr="00C51093">
        <w:rPr>
          <w:szCs w:val="20"/>
        </w:rPr>
        <w:tab/>
      </w:r>
      <w:r w:rsidR="00E55853">
        <w:rPr>
          <w:szCs w:val="20"/>
        </w:rPr>
        <w:t>The Schedule should</w:t>
      </w:r>
      <w:r w:rsidRPr="00C51093">
        <w:rPr>
          <w:szCs w:val="20"/>
        </w:rPr>
        <w:t xml:space="preserve"> describe the nature of the finding, such as “Ohio Rev. Code § 5705.41(</w:t>
      </w:r>
      <w:r>
        <w:rPr>
          <w:szCs w:val="20"/>
        </w:rPr>
        <w:t>b</w:t>
      </w:r>
      <w:r w:rsidRPr="00C51093">
        <w:rPr>
          <w:szCs w:val="20"/>
        </w:rPr>
        <w:t xml:space="preserve">), </w:t>
      </w:r>
      <w:r>
        <w:rPr>
          <w:szCs w:val="20"/>
        </w:rPr>
        <w:t>budgetary expenditures exceeded appropriations</w:t>
      </w:r>
      <w:r w:rsidRPr="00C51093">
        <w:rPr>
          <w:szCs w:val="20"/>
        </w:rPr>
        <w:t xml:space="preserve">” or “Inadequate segregation of duties.”  </w:t>
      </w:r>
    </w:p>
    <w:p w14:paraId="7876A973" w14:textId="77777777" w:rsidR="00D73B69" w:rsidRPr="00C51093" w:rsidRDefault="00D73B69" w:rsidP="00284281">
      <w:pPr>
        <w:tabs>
          <w:tab w:val="left" w:pos="0"/>
          <w:tab w:val="left" w:pos="547"/>
          <w:tab w:val="left" w:pos="936"/>
          <w:tab w:val="left" w:pos="1440"/>
          <w:tab w:val="left" w:pos="1987"/>
        </w:tabs>
        <w:ind w:left="547" w:hanging="547"/>
        <w:rPr>
          <w:szCs w:val="20"/>
        </w:rPr>
      </w:pPr>
    </w:p>
  </w:endnote>
  <w:endnote w:id="8">
    <w:p w14:paraId="7B4FA76C" w14:textId="77777777" w:rsidR="00D73B69" w:rsidRDefault="00D73B69" w:rsidP="00284281">
      <w:pPr>
        <w:tabs>
          <w:tab w:val="left" w:pos="540"/>
        </w:tabs>
      </w:pPr>
      <w:r>
        <w:rPr>
          <w:rStyle w:val="EndnoteReference"/>
        </w:rPr>
        <w:endnoteRef/>
      </w:r>
      <w:r w:rsidR="00741F85">
        <w:t xml:space="preserve"> </w:t>
      </w:r>
      <w:r w:rsidR="00741F85">
        <w:tab/>
      </w:r>
      <w:r>
        <w:t>Responses include:</w:t>
      </w:r>
    </w:p>
    <w:p w14:paraId="39D6C3CF" w14:textId="77777777" w:rsidR="00D73B69" w:rsidRPr="00D73B69" w:rsidRDefault="00D73B69" w:rsidP="00284281">
      <w:pPr>
        <w:pStyle w:val="ListParagraph"/>
        <w:numPr>
          <w:ilvl w:val="1"/>
          <w:numId w:val="3"/>
        </w:numPr>
      </w:pPr>
      <w:r w:rsidRPr="00D73B69">
        <w:t>Corrective Action Taken and Finding is Fully Corrected</w:t>
      </w:r>
      <w:r>
        <w:t>;</w:t>
      </w:r>
    </w:p>
    <w:p w14:paraId="7F22B37D" w14:textId="77777777" w:rsidR="00D73B69" w:rsidRDefault="00D73B69" w:rsidP="00284281">
      <w:pPr>
        <w:pStyle w:val="ListParagraph"/>
        <w:numPr>
          <w:ilvl w:val="1"/>
          <w:numId w:val="3"/>
        </w:numPr>
        <w:rPr>
          <w:szCs w:val="20"/>
        </w:rPr>
      </w:pPr>
      <w:r w:rsidRPr="00D73B69">
        <w:rPr>
          <w:szCs w:val="20"/>
        </w:rPr>
        <w:t>Partially Corrected</w:t>
      </w:r>
      <w:r>
        <w:rPr>
          <w:szCs w:val="20"/>
        </w:rPr>
        <w:t>;</w:t>
      </w:r>
      <w:r w:rsidRPr="00D73B69">
        <w:rPr>
          <w:szCs w:val="20"/>
        </w:rPr>
        <w:t xml:space="preserve"> </w:t>
      </w:r>
    </w:p>
    <w:p w14:paraId="714CB3B3" w14:textId="77777777" w:rsidR="00F16F7E" w:rsidRDefault="00F16F7E" w:rsidP="00284281">
      <w:pPr>
        <w:pStyle w:val="ListParagraph"/>
        <w:numPr>
          <w:ilvl w:val="1"/>
          <w:numId w:val="3"/>
        </w:numPr>
        <w:rPr>
          <w:szCs w:val="20"/>
        </w:rPr>
      </w:pPr>
      <w:r>
        <w:rPr>
          <w:szCs w:val="20"/>
        </w:rPr>
        <w:t>Not Corrected;</w:t>
      </w:r>
    </w:p>
    <w:p w14:paraId="2696CC72" w14:textId="77777777" w:rsidR="00D73B69" w:rsidRPr="007C2850" w:rsidRDefault="00D73B69" w:rsidP="00284281">
      <w:pPr>
        <w:pStyle w:val="ListParagraph"/>
        <w:numPr>
          <w:ilvl w:val="1"/>
          <w:numId w:val="3"/>
        </w:numPr>
        <w:rPr>
          <w:szCs w:val="20"/>
        </w:rPr>
      </w:pPr>
      <w:r w:rsidRPr="007C2850">
        <w:rPr>
          <w:szCs w:val="20"/>
        </w:rPr>
        <w:t>Significantly Different from Prior Year Corrective Action Taken;</w:t>
      </w:r>
    </w:p>
    <w:p w14:paraId="022DF2FB" w14:textId="77777777" w:rsidR="00D73B69" w:rsidRPr="007C2850" w:rsidRDefault="00D73B69" w:rsidP="00284281">
      <w:pPr>
        <w:pStyle w:val="ListParagraph"/>
        <w:numPr>
          <w:ilvl w:val="1"/>
          <w:numId w:val="3"/>
        </w:numPr>
        <w:rPr>
          <w:szCs w:val="20"/>
        </w:rPr>
      </w:pPr>
      <w:r w:rsidRPr="007C2850">
        <w:rPr>
          <w:szCs w:val="20"/>
        </w:rPr>
        <w:t>Finding no Longer Valid; or</w:t>
      </w:r>
    </w:p>
    <w:p w14:paraId="37CF3830" w14:textId="34A83178" w:rsidR="00D73B69" w:rsidRPr="007C2850" w:rsidRDefault="00CC5ABC" w:rsidP="00284281">
      <w:pPr>
        <w:pStyle w:val="ListParagraph"/>
        <w:numPr>
          <w:ilvl w:val="1"/>
          <w:numId w:val="3"/>
        </w:numPr>
      </w:pPr>
      <w:r>
        <w:rPr>
          <w:szCs w:val="20"/>
        </w:rPr>
        <w:t>Does Not</w:t>
      </w:r>
      <w:r w:rsidR="00D73B69" w:rsidRPr="007C2850">
        <w:rPr>
          <w:szCs w:val="20"/>
        </w:rPr>
        <w:t xml:space="preserve"> Warrant Further Action</w:t>
      </w:r>
      <w:r w:rsidR="00A14DBA" w:rsidRPr="007C2850">
        <w:rPr>
          <w:szCs w:val="20"/>
        </w:rPr>
        <w:t xml:space="preserve"> (</w:t>
      </w:r>
      <w:r w:rsidR="007E6BD3">
        <w:rPr>
          <w:szCs w:val="20"/>
        </w:rPr>
        <w:t>o</w:t>
      </w:r>
      <w:r w:rsidR="00A14DBA" w:rsidRPr="007C2850">
        <w:rPr>
          <w:szCs w:val="20"/>
        </w:rPr>
        <w:t xml:space="preserve">nly </w:t>
      </w:r>
      <w:r w:rsidR="00A14DBA" w:rsidRPr="007C2850">
        <w:t>if the criteria of 2 CFR 200.511(b)(3) are met)</w:t>
      </w:r>
      <w:r w:rsidR="007E6BD3">
        <w:t>.</w:t>
      </w:r>
    </w:p>
    <w:p w14:paraId="23AB5B57" w14:textId="77777777" w:rsidR="00D73B69" w:rsidRDefault="00D73B69" w:rsidP="00284281">
      <w:pPr>
        <w:pStyle w:val="EndnoteText"/>
      </w:pPr>
    </w:p>
  </w:endnote>
  <w:endnote w:id="9">
    <w:p w14:paraId="7FDBD12C" w14:textId="337E9B3E" w:rsidR="00D73B69" w:rsidRDefault="00D73B69" w:rsidP="00284281">
      <w:pPr>
        <w:pStyle w:val="EndnoteText"/>
        <w:tabs>
          <w:tab w:val="left" w:pos="540"/>
        </w:tabs>
        <w:ind w:left="540" w:hanging="540"/>
      </w:pPr>
      <w:r w:rsidRPr="00C51093">
        <w:rPr>
          <w:rStyle w:val="EndnoteReference"/>
        </w:rPr>
        <w:endnoteRef/>
      </w:r>
      <w:r w:rsidRPr="00C51093">
        <w:t xml:space="preserve"> </w:t>
      </w:r>
      <w:r w:rsidRPr="00C51093">
        <w:tab/>
        <w:t>For prior year FFRs, “fully corrected” means that the actual FFR was resolved (i.e., repaid or</w:t>
      </w:r>
      <w:r>
        <w:t xml:space="preserve"> a</w:t>
      </w:r>
      <w:r w:rsidR="00741F85">
        <w:t xml:space="preserve"> </w:t>
      </w:r>
      <w:r>
        <w:t xml:space="preserve">repayment plan has been approved – see ORC 9.24(b) </w:t>
      </w:r>
      <w:r w:rsidR="007E6BD3">
        <w:t>and</w:t>
      </w:r>
      <w:r>
        <w:t xml:space="preserve"> the OCS Implementation Guide</w:t>
      </w:r>
      <w:r w:rsidR="00686267">
        <w:t xml:space="preserve">). </w:t>
      </w:r>
    </w:p>
    <w:p w14:paraId="2EF48A82" w14:textId="77777777" w:rsidR="00D73B69" w:rsidRPr="00C51093" w:rsidRDefault="00D73B69" w:rsidP="00284281">
      <w:pPr>
        <w:pStyle w:val="EndnoteText"/>
        <w:tabs>
          <w:tab w:val="left" w:pos="540"/>
        </w:tabs>
      </w:pPr>
    </w:p>
  </w:endnote>
  <w:endnote w:id="10">
    <w:p w14:paraId="27F9D59D" w14:textId="0012E8F9" w:rsidR="00686267" w:rsidRDefault="00686267" w:rsidP="00284281">
      <w:pPr>
        <w:pStyle w:val="EndnoteText"/>
        <w:tabs>
          <w:tab w:val="left" w:pos="540"/>
        </w:tabs>
        <w:ind w:left="540" w:hanging="540"/>
      </w:pPr>
      <w:r>
        <w:rPr>
          <w:rStyle w:val="EndnoteReference"/>
        </w:rPr>
        <w:endnoteRef/>
      </w:r>
      <w:r>
        <w:t xml:space="preserve"> </w:t>
      </w:r>
      <w:r>
        <w:tab/>
        <w:t xml:space="preserve">For prior year </w:t>
      </w:r>
      <w:r w:rsidR="007E6BD3">
        <w:t xml:space="preserve">findings for recovery (FFRs) </w:t>
      </w:r>
      <w:r>
        <w:t xml:space="preserve">in section 4, </w:t>
      </w:r>
      <w:r w:rsidR="007E6BD3">
        <w:t>a summary schedule of prior audit findings is not required because FFRs in section 4 are</w:t>
      </w:r>
      <w:r>
        <w:t xml:space="preserve"> not part of the Independent Auditor’s Reports on compliance and internal controls as listed in the table of contents.</w:t>
      </w:r>
    </w:p>
    <w:p w14:paraId="1B63A15D" w14:textId="77777777" w:rsidR="00686267" w:rsidRDefault="00686267" w:rsidP="00284281">
      <w:pPr>
        <w:pStyle w:val="EndnoteText"/>
        <w:tabs>
          <w:tab w:val="left" w:pos="540"/>
        </w:tabs>
        <w:ind w:left="540" w:hanging="540"/>
      </w:pPr>
    </w:p>
  </w:endnote>
  <w:endnote w:id="11">
    <w:p w14:paraId="76726B13" w14:textId="77777777" w:rsidR="00D73B69" w:rsidRPr="00D73B69" w:rsidRDefault="00D73B69" w:rsidP="00284281">
      <w:pPr>
        <w:tabs>
          <w:tab w:val="left" w:pos="540"/>
        </w:tabs>
        <w:rPr>
          <w:szCs w:val="20"/>
        </w:rPr>
      </w:pPr>
      <w:r>
        <w:rPr>
          <w:rStyle w:val="EndnoteReference"/>
        </w:rPr>
        <w:endnoteRef/>
      </w:r>
      <w:r w:rsidR="00741F85">
        <w:t xml:space="preserve"> </w:t>
      </w:r>
      <w:r w:rsidR="00741F85">
        <w:tab/>
      </w:r>
      <w:r>
        <w:t xml:space="preserve">For </w:t>
      </w:r>
      <w:r w:rsidRPr="00D73B69">
        <w:t>f</w:t>
      </w:r>
      <w:r w:rsidRPr="00D73B69">
        <w:rPr>
          <w:szCs w:val="20"/>
        </w:rPr>
        <w:t xml:space="preserve">indings not fully corrected, </w:t>
      </w:r>
      <w:r w:rsidR="00F5731F">
        <w:rPr>
          <w:szCs w:val="20"/>
        </w:rPr>
        <w:t xml:space="preserve">the schedule </w:t>
      </w:r>
      <w:r w:rsidR="00F5731F" w:rsidRPr="00F5731F">
        <w:rPr>
          <w:b/>
          <w:szCs w:val="20"/>
        </w:rPr>
        <w:t>must</w:t>
      </w:r>
      <w:r w:rsidR="00F5731F">
        <w:rPr>
          <w:szCs w:val="20"/>
        </w:rPr>
        <w:t xml:space="preserve"> </w:t>
      </w:r>
      <w:r w:rsidRPr="00D73B69">
        <w:rPr>
          <w:szCs w:val="20"/>
        </w:rPr>
        <w:t>describe:</w:t>
      </w:r>
    </w:p>
    <w:p w14:paraId="1E82AD8B" w14:textId="77777777" w:rsidR="00D73B69" w:rsidRPr="00D73B69" w:rsidRDefault="00D73B69" w:rsidP="00284281">
      <w:pPr>
        <w:pStyle w:val="ListParagraph"/>
        <w:numPr>
          <w:ilvl w:val="0"/>
          <w:numId w:val="4"/>
        </w:numPr>
        <w:rPr>
          <w:szCs w:val="20"/>
        </w:rPr>
      </w:pPr>
      <w:r w:rsidRPr="00D73B69">
        <w:rPr>
          <w:szCs w:val="20"/>
        </w:rPr>
        <w:t>Reasons for Recurrence</w:t>
      </w:r>
      <w:r>
        <w:rPr>
          <w:szCs w:val="20"/>
        </w:rPr>
        <w:t>;</w:t>
      </w:r>
    </w:p>
    <w:p w14:paraId="164867DE" w14:textId="77777777" w:rsidR="00D73B69" w:rsidRDefault="00D73B69" w:rsidP="00284281">
      <w:pPr>
        <w:pStyle w:val="ListParagraph"/>
        <w:numPr>
          <w:ilvl w:val="0"/>
          <w:numId w:val="4"/>
        </w:numPr>
        <w:rPr>
          <w:szCs w:val="20"/>
        </w:rPr>
      </w:pPr>
      <w:r w:rsidRPr="00D73B69">
        <w:rPr>
          <w:szCs w:val="20"/>
        </w:rPr>
        <w:t>Planned Corrective Action</w:t>
      </w:r>
      <w:r>
        <w:rPr>
          <w:szCs w:val="20"/>
        </w:rPr>
        <w:t>;</w:t>
      </w:r>
    </w:p>
    <w:p w14:paraId="72C5763A" w14:textId="77777777" w:rsidR="00D73B69" w:rsidRPr="00D73B69" w:rsidRDefault="00D73B69" w:rsidP="00284281">
      <w:pPr>
        <w:pStyle w:val="ListParagraph"/>
        <w:numPr>
          <w:ilvl w:val="0"/>
          <w:numId w:val="4"/>
        </w:numPr>
        <w:rPr>
          <w:szCs w:val="20"/>
        </w:rPr>
      </w:pPr>
      <w:r w:rsidRPr="00D73B69">
        <w:rPr>
          <w:szCs w:val="20"/>
        </w:rPr>
        <w:t>Any Partial Corrective Action</w:t>
      </w:r>
      <w:r>
        <w:rPr>
          <w:szCs w:val="20"/>
        </w:rPr>
        <w:t xml:space="preserve"> Taken;</w:t>
      </w:r>
    </w:p>
    <w:p w14:paraId="1C559352" w14:textId="4D75FBA3" w:rsidR="00D73B69" w:rsidRPr="00D73B69" w:rsidRDefault="00AF791D" w:rsidP="00284281">
      <w:pPr>
        <w:pStyle w:val="ListParagraph"/>
        <w:numPr>
          <w:ilvl w:val="0"/>
          <w:numId w:val="4"/>
        </w:numPr>
      </w:pPr>
      <w:r>
        <w:rPr>
          <w:szCs w:val="20"/>
        </w:rPr>
        <w:t>When Corrective Action Taken is Significantly Different from Corrective Action Previously Reported in a Corrective Action Plan or in the Federal Agency’s or Pass-through Entity’s Management Decision, the Schedule Must Provide an Explanation</w:t>
      </w:r>
      <w:r w:rsidR="00D73B69">
        <w:rPr>
          <w:szCs w:val="20"/>
        </w:rPr>
        <w:t>;</w:t>
      </w:r>
      <w:r>
        <w:rPr>
          <w:szCs w:val="20"/>
        </w:rPr>
        <w:t xml:space="preserve"> and/or</w:t>
      </w:r>
    </w:p>
    <w:p w14:paraId="45DFEECD" w14:textId="19D10E82" w:rsidR="00D73B69" w:rsidRPr="00D73B69" w:rsidRDefault="00AF791D" w:rsidP="00284281">
      <w:pPr>
        <w:pStyle w:val="ListParagraph"/>
        <w:numPr>
          <w:ilvl w:val="0"/>
          <w:numId w:val="4"/>
        </w:numPr>
      </w:pPr>
      <w:r>
        <w:rPr>
          <w:szCs w:val="20"/>
        </w:rPr>
        <w:t>When the Entity Believes the Finding is No Longer Valid or Does Not Warrant Further Action, the Reasons for This Position</w:t>
      </w:r>
      <w:r w:rsidR="00D73B69">
        <w:rPr>
          <w:szCs w:val="20"/>
        </w:rPr>
        <w:t>.</w:t>
      </w:r>
    </w:p>
    <w:p w14:paraId="3AD90CCF" w14:textId="77777777" w:rsidR="00D73B69" w:rsidRPr="00D73B69" w:rsidRDefault="00D73B69" w:rsidP="00D73B69">
      <w:pPr>
        <w:pStyle w:val="ListParagraph"/>
        <w:ind w:left="1440"/>
        <w:jc w:val="left"/>
      </w:pPr>
    </w:p>
  </w:endnote>
  <w:endnote w:id="12">
    <w:p w14:paraId="33CD2EFA" w14:textId="77777777" w:rsidR="00D73B69" w:rsidRDefault="00D73B69" w:rsidP="00741F85">
      <w:pPr>
        <w:pStyle w:val="EndnoteText"/>
        <w:tabs>
          <w:tab w:val="left" w:pos="540"/>
        </w:tabs>
      </w:pPr>
      <w:r>
        <w:rPr>
          <w:rStyle w:val="EndnoteReference"/>
        </w:rPr>
        <w:endnoteRef/>
      </w:r>
      <w:r w:rsidR="00741F85">
        <w:t xml:space="preserve"> </w:t>
      </w:r>
      <w:r w:rsidR="00741F85">
        <w:tab/>
      </w:r>
      <w:r w:rsidRPr="00C51093">
        <w:t>To add another row for additional prior year matters, place cursor in this cell and hit “tab.”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368A" w14:textId="77777777" w:rsidR="00A5312D" w:rsidRDefault="00A5312D">
      <w:r>
        <w:separator/>
      </w:r>
    </w:p>
  </w:footnote>
  <w:footnote w:type="continuationSeparator" w:id="0">
    <w:p w14:paraId="14EFA7F0" w14:textId="77777777" w:rsidR="00A5312D" w:rsidRDefault="00A5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19DC"/>
    <w:multiLevelType w:val="hybridMultilevel"/>
    <w:tmpl w:val="72EC3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232D5A"/>
    <w:multiLevelType w:val="hybridMultilevel"/>
    <w:tmpl w:val="47B6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B7E16"/>
    <w:multiLevelType w:val="hybridMultilevel"/>
    <w:tmpl w:val="E900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83E51"/>
    <w:multiLevelType w:val="hybridMultilevel"/>
    <w:tmpl w:val="0B04F71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71547076"/>
    <w:multiLevelType w:val="hybridMultilevel"/>
    <w:tmpl w:val="E9E46C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7D0871FF"/>
    <w:multiLevelType w:val="hybridMultilevel"/>
    <w:tmpl w:val="3886DE2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67706844">
    <w:abstractNumId w:val="4"/>
  </w:num>
  <w:num w:numId="2" w16cid:durableId="26417328">
    <w:abstractNumId w:val="5"/>
  </w:num>
  <w:num w:numId="3" w16cid:durableId="2114978054">
    <w:abstractNumId w:val="2"/>
  </w:num>
  <w:num w:numId="4" w16cid:durableId="1334525735">
    <w:abstractNumId w:val="0"/>
  </w:num>
  <w:num w:numId="5" w16cid:durableId="1129661421">
    <w:abstractNumId w:val="3"/>
  </w:num>
  <w:num w:numId="6" w16cid:durableId="139225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DA"/>
    <w:rsid w:val="00016C22"/>
    <w:rsid w:val="000268A5"/>
    <w:rsid w:val="00041D35"/>
    <w:rsid w:val="00070F43"/>
    <w:rsid w:val="000735DF"/>
    <w:rsid w:val="000D0125"/>
    <w:rsid w:val="000E26AA"/>
    <w:rsid w:val="000E56BA"/>
    <w:rsid w:val="001176F7"/>
    <w:rsid w:val="00130D30"/>
    <w:rsid w:val="00170E06"/>
    <w:rsid w:val="00180179"/>
    <w:rsid w:val="00190E31"/>
    <w:rsid w:val="001A14D9"/>
    <w:rsid w:val="001A7409"/>
    <w:rsid w:val="001D0F5B"/>
    <w:rsid w:val="001E5B35"/>
    <w:rsid w:val="001F3515"/>
    <w:rsid w:val="002255EF"/>
    <w:rsid w:val="00236EB8"/>
    <w:rsid w:val="00243B28"/>
    <w:rsid w:val="002508DE"/>
    <w:rsid w:val="00256CC0"/>
    <w:rsid w:val="00282CCA"/>
    <w:rsid w:val="00284281"/>
    <w:rsid w:val="002A4221"/>
    <w:rsid w:val="002A4609"/>
    <w:rsid w:val="002B7BC1"/>
    <w:rsid w:val="002D2FEA"/>
    <w:rsid w:val="002F15B2"/>
    <w:rsid w:val="002F3508"/>
    <w:rsid w:val="00300AA0"/>
    <w:rsid w:val="00320BD7"/>
    <w:rsid w:val="003702AE"/>
    <w:rsid w:val="00377518"/>
    <w:rsid w:val="003B2CEF"/>
    <w:rsid w:val="003B4A82"/>
    <w:rsid w:val="003D17FA"/>
    <w:rsid w:val="003E1E3A"/>
    <w:rsid w:val="003E649B"/>
    <w:rsid w:val="00411E72"/>
    <w:rsid w:val="004536DB"/>
    <w:rsid w:val="004857A2"/>
    <w:rsid w:val="00493C6A"/>
    <w:rsid w:val="00497887"/>
    <w:rsid w:val="004C489B"/>
    <w:rsid w:val="004E050C"/>
    <w:rsid w:val="004F7382"/>
    <w:rsid w:val="00512872"/>
    <w:rsid w:val="00514035"/>
    <w:rsid w:val="00577DAF"/>
    <w:rsid w:val="0058210D"/>
    <w:rsid w:val="0059308C"/>
    <w:rsid w:val="005D02CE"/>
    <w:rsid w:val="0063040D"/>
    <w:rsid w:val="00686267"/>
    <w:rsid w:val="00690A8C"/>
    <w:rsid w:val="00696C0A"/>
    <w:rsid w:val="006A349F"/>
    <w:rsid w:val="006A3FC7"/>
    <w:rsid w:val="006C14BC"/>
    <w:rsid w:val="006F6A77"/>
    <w:rsid w:val="007040EF"/>
    <w:rsid w:val="00711336"/>
    <w:rsid w:val="00727B43"/>
    <w:rsid w:val="00741F85"/>
    <w:rsid w:val="00743E49"/>
    <w:rsid w:val="00762567"/>
    <w:rsid w:val="00774670"/>
    <w:rsid w:val="007A79E6"/>
    <w:rsid w:val="007B0B90"/>
    <w:rsid w:val="007B2AAA"/>
    <w:rsid w:val="007C2850"/>
    <w:rsid w:val="007E6B22"/>
    <w:rsid w:val="007E6BD3"/>
    <w:rsid w:val="007F0B15"/>
    <w:rsid w:val="007F57A0"/>
    <w:rsid w:val="007F57DC"/>
    <w:rsid w:val="008067D8"/>
    <w:rsid w:val="00831E73"/>
    <w:rsid w:val="0084200A"/>
    <w:rsid w:val="008668F7"/>
    <w:rsid w:val="00897026"/>
    <w:rsid w:val="008A42E4"/>
    <w:rsid w:val="008C590B"/>
    <w:rsid w:val="00941A83"/>
    <w:rsid w:val="00957993"/>
    <w:rsid w:val="00962B2F"/>
    <w:rsid w:val="009841B6"/>
    <w:rsid w:val="009A405D"/>
    <w:rsid w:val="009B47D3"/>
    <w:rsid w:val="009D28D5"/>
    <w:rsid w:val="00A07177"/>
    <w:rsid w:val="00A14DBA"/>
    <w:rsid w:val="00A21DB3"/>
    <w:rsid w:val="00A5312D"/>
    <w:rsid w:val="00A66E06"/>
    <w:rsid w:val="00AF0930"/>
    <w:rsid w:val="00AF6E2F"/>
    <w:rsid w:val="00AF791D"/>
    <w:rsid w:val="00B134A1"/>
    <w:rsid w:val="00B21E36"/>
    <w:rsid w:val="00B24D88"/>
    <w:rsid w:val="00B45C78"/>
    <w:rsid w:val="00B52AA2"/>
    <w:rsid w:val="00B83DF0"/>
    <w:rsid w:val="00B87C48"/>
    <w:rsid w:val="00BD308B"/>
    <w:rsid w:val="00BD7040"/>
    <w:rsid w:val="00BE6106"/>
    <w:rsid w:val="00BE6CB3"/>
    <w:rsid w:val="00BF6693"/>
    <w:rsid w:val="00C15E71"/>
    <w:rsid w:val="00C16A48"/>
    <w:rsid w:val="00C2216C"/>
    <w:rsid w:val="00C46219"/>
    <w:rsid w:val="00C51093"/>
    <w:rsid w:val="00C5264F"/>
    <w:rsid w:val="00CB5DDA"/>
    <w:rsid w:val="00CC2EBE"/>
    <w:rsid w:val="00CC5ABC"/>
    <w:rsid w:val="00CD2B5C"/>
    <w:rsid w:val="00CD593B"/>
    <w:rsid w:val="00CF3F23"/>
    <w:rsid w:val="00CF753B"/>
    <w:rsid w:val="00D04B22"/>
    <w:rsid w:val="00D16ACE"/>
    <w:rsid w:val="00D25C29"/>
    <w:rsid w:val="00D7327A"/>
    <w:rsid w:val="00D73B69"/>
    <w:rsid w:val="00D86F78"/>
    <w:rsid w:val="00DC4543"/>
    <w:rsid w:val="00DC6578"/>
    <w:rsid w:val="00DE065B"/>
    <w:rsid w:val="00DF0840"/>
    <w:rsid w:val="00E00E3D"/>
    <w:rsid w:val="00E01DFD"/>
    <w:rsid w:val="00E05FE6"/>
    <w:rsid w:val="00E23186"/>
    <w:rsid w:val="00E40026"/>
    <w:rsid w:val="00E55853"/>
    <w:rsid w:val="00E62303"/>
    <w:rsid w:val="00E81F31"/>
    <w:rsid w:val="00EA29A8"/>
    <w:rsid w:val="00EE0362"/>
    <w:rsid w:val="00EE3736"/>
    <w:rsid w:val="00EF7DA4"/>
    <w:rsid w:val="00F1125C"/>
    <w:rsid w:val="00F1425C"/>
    <w:rsid w:val="00F16F7E"/>
    <w:rsid w:val="00F36C86"/>
    <w:rsid w:val="00F50DDD"/>
    <w:rsid w:val="00F5731F"/>
    <w:rsid w:val="00F72AB6"/>
    <w:rsid w:val="00F826B4"/>
    <w:rsid w:val="00F86F66"/>
    <w:rsid w:val="00FA5A21"/>
    <w:rsid w:val="00FB3F0C"/>
    <w:rsid w:val="00FC7473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4B5F3799"/>
  <w15:docId w15:val="{7F6DA4F4-6244-4C3B-8EEE-EAE2B93F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256C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3702AE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C16A48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C16A48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C2216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E1E3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E3A"/>
    <w:rPr>
      <w:rFonts w:ascii="Arial" w:hAnsi="Arial" w:cs="Arial"/>
      <w:sz w:val="16"/>
      <w:szCs w:val="16"/>
    </w:rPr>
  </w:style>
  <w:style w:type="paragraph" w:styleId="EndnoteText">
    <w:name w:val="endnote text"/>
    <w:basedOn w:val="Normal"/>
    <w:link w:val="EndnoteTextChar"/>
    <w:rsid w:val="00EE3736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E3736"/>
    <w:rPr>
      <w:rFonts w:ascii="Arial" w:hAnsi="Arial" w:cs="Arial"/>
    </w:rPr>
  </w:style>
  <w:style w:type="character" w:styleId="EndnoteReference">
    <w:name w:val="endnote reference"/>
    <w:basedOn w:val="DefaultParagraphFont"/>
    <w:rsid w:val="00EE3736"/>
    <w:rPr>
      <w:vertAlign w:val="superscript"/>
    </w:rPr>
  </w:style>
  <w:style w:type="character" w:styleId="CommentReference">
    <w:name w:val="annotation reference"/>
    <w:basedOn w:val="DefaultParagraphFont"/>
    <w:rsid w:val="004978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88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9788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497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7887"/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rsid w:val="00256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nhideWhenUsed/>
    <w:rsid w:val="00B134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A29A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C5ABC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hioauditor.gov/references/compliancemanuals.html" TargetMode="External"/><Relationship Id="rId1" Type="http://schemas.openxmlformats.org/officeDocument/2006/relationships/hyperlink" Target="https://ohioauditor.gov/ipa/UniformGuidance/2022/2CFR-FrequentlyAskedQuestions_20210503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FCC2-AFE5-46F8-AF73-1042C970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 of State of Ohio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Amanda M. Davis</cp:lastModifiedBy>
  <cp:revision>7</cp:revision>
  <dcterms:created xsi:type="dcterms:W3CDTF">2025-04-24T14:14:00Z</dcterms:created>
  <dcterms:modified xsi:type="dcterms:W3CDTF">2025-05-12T19:14:00Z</dcterms:modified>
</cp:coreProperties>
</file>