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DE23" w14:textId="5AB81833"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14:paraId="1353A2E9" w14:textId="77777777" w:rsidR="00DC7304" w:rsidRDefault="00C128B5" w:rsidP="00C128B5">
      <w:pPr>
        <w:tabs>
          <w:tab w:val="center" w:pos="4680"/>
          <w:tab w:val="left" w:pos="7716"/>
        </w:tabs>
        <w:rPr>
          <w:rFonts w:ascii="Times New Roman" w:hAnsi="Times New Roman"/>
          <w:b/>
          <w:sz w:val="28"/>
          <w:szCs w:val="28"/>
        </w:rPr>
      </w:pPr>
      <w:r>
        <w:rPr>
          <w:rFonts w:ascii="Times New Roman" w:hAnsi="Times New Roman"/>
          <w:b/>
          <w:sz w:val="28"/>
          <w:szCs w:val="28"/>
        </w:rPr>
        <w:tab/>
      </w:r>
      <w:r w:rsidR="00DC7304" w:rsidRPr="00D604F7">
        <w:rPr>
          <w:rFonts w:ascii="Times New Roman" w:hAnsi="Times New Roman"/>
          <w:b/>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6802BC7D"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4318144F" w14:textId="39F347B0" w:rsidR="007938CC" w:rsidRDefault="007938CC" w:rsidP="007938CC">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Furtherance of Justice (FOJ)</w:t>
      </w:r>
      <w:r w:rsidR="00F965EA">
        <w:rPr>
          <w:rFonts w:ascii="Times New Roman" w:hAnsi="Times New Roman"/>
          <w:b/>
          <w:i/>
          <w:sz w:val="22"/>
          <w:szCs w:val="22"/>
        </w:rPr>
        <w:t xml:space="preserve">, </w:t>
      </w:r>
      <w:r w:rsidRPr="00786FD1">
        <w:rPr>
          <w:rFonts w:ascii="Times New Roman" w:hAnsi="Times New Roman"/>
          <w:b/>
          <w:i/>
          <w:sz w:val="22"/>
          <w:szCs w:val="22"/>
        </w:rPr>
        <w:t>Law Enforcement Trust (LET)</w:t>
      </w:r>
      <w:r w:rsidR="00F965EA">
        <w:rPr>
          <w:rFonts w:ascii="Times New Roman" w:hAnsi="Times New Roman"/>
          <w:b/>
          <w:i/>
          <w:sz w:val="22"/>
          <w:szCs w:val="22"/>
        </w:rPr>
        <w:t>,</w:t>
      </w:r>
      <w:r w:rsidRPr="00786FD1">
        <w:rPr>
          <w:rFonts w:ascii="Times New Roman" w:hAnsi="Times New Roman"/>
          <w:b/>
          <w:i/>
          <w:sz w:val="22"/>
          <w:szCs w:val="22"/>
        </w:rPr>
        <w:t xml:space="preserve"> and Drug Law Enforcement Funds </w:t>
      </w:r>
    </w:p>
    <w:p w14:paraId="0DCFECF9" w14:textId="5BB3CBCC" w:rsidR="007938CC" w:rsidRDefault="007938CC" w:rsidP="007938CC">
      <w:pPr>
        <w:pStyle w:val="ListParagraph"/>
        <w:numPr>
          <w:ilvl w:val="1"/>
          <w:numId w:val="10"/>
        </w:numPr>
        <w:jc w:val="both"/>
        <w:rPr>
          <w:rFonts w:ascii="Times New Roman" w:hAnsi="Times New Roman"/>
          <w:b/>
          <w:i/>
          <w:sz w:val="22"/>
          <w:szCs w:val="22"/>
        </w:rPr>
      </w:pPr>
      <w:r w:rsidRPr="00CC5B3E">
        <w:rPr>
          <w:rFonts w:ascii="Times New Roman" w:hAnsi="Times New Roman"/>
          <w:b/>
          <w:i/>
          <w:sz w:val="22"/>
          <w:szCs w:val="22"/>
        </w:rPr>
        <w:t>Submission of information for National Instant Criminal Background Check System (NICS)</w:t>
      </w:r>
      <w:r w:rsidR="0098281F">
        <w:rPr>
          <w:rFonts w:ascii="Times New Roman" w:hAnsi="Times New Roman"/>
          <w:b/>
          <w:i/>
          <w:sz w:val="22"/>
          <w:szCs w:val="22"/>
        </w:rPr>
        <w:t xml:space="preserve"> </w:t>
      </w:r>
      <w:r w:rsidR="0043258F">
        <w:rPr>
          <w:rFonts w:ascii="Times New Roman" w:hAnsi="Times New Roman"/>
          <w:b/>
          <w:i/>
          <w:sz w:val="22"/>
          <w:szCs w:val="22"/>
        </w:rPr>
        <w:t>(</w:t>
      </w:r>
      <w:r w:rsidR="00932BBF" w:rsidRPr="001F363F">
        <w:rPr>
          <w:rFonts w:ascii="Times New Roman" w:hAnsi="Times New Roman"/>
          <w:b/>
          <w:i/>
          <w:sz w:val="22"/>
          <w:szCs w:val="22"/>
          <w:u w:val="wave"/>
        </w:rPr>
        <w:t>PROCEDURES ARE LIMITED TO THE FOLLOW UP OF PRIOR YEAR RECOMMENDATIONS</w:t>
      </w:r>
      <w:r w:rsidR="00932BBF" w:rsidRPr="00732478">
        <w:rPr>
          <w:rFonts w:ascii="Times New Roman" w:hAnsi="Times New Roman"/>
          <w:b/>
          <w:i/>
          <w:sz w:val="22"/>
          <w:szCs w:val="22"/>
          <w:u w:val="wave"/>
        </w:rPr>
        <w:t xml:space="preserve"> </w:t>
      </w:r>
      <w:r w:rsidR="00932BBF">
        <w:rPr>
          <w:rFonts w:ascii="Times New Roman" w:hAnsi="Times New Roman"/>
          <w:b/>
          <w:i/>
          <w:sz w:val="22"/>
          <w:szCs w:val="22"/>
          <w:u w:val="wave"/>
        </w:rPr>
        <w:t xml:space="preserve">– TESTING FOR </w:t>
      </w:r>
      <w:r w:rsidR="0098281F" w:rsidRPr="00732478">
        <w:rPr>
          <w:rFonts w:ascii="Times New Roman" w:hAnsi="Times New Roman"/>
          <w:b/>
          <w:i/>
          <w:sz w:val="22"/>
          <w:szCs w:val="22"/>
          <w:u w:val="wave"/>
        </w:rPr>
        <w:t>THIS SECTION HAS BEEN SUSPENDED</w:t>
      </w:r>
      <w:r w:rsidR="00932BBF">
        <w:rPr>
          <w:rFonts w:ascii="Times New Roman" w:hAnsi="Times New Roman"/>
          <w:b/>
          <w:i/>
          <w:sz w:val="22"/>
          <w:szCs w:val="22"/>
          <w:u w:val="wave"/>
        </w:rPr>
        <w:t>)</w:t>
      </w:r>
    </w:p>
    <w:p w14:paraId="1A4BD6B7" w14:textId="1EEBEDC8" w:rsidR="00786FD1" w:rsidRDefault="00786FD1" w:rsidP="00786FD1">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Dropout Prevention and Recovery School Eligibility Requirements</w:t>
      </w:r>
    </w:p>
    <w:p w14:paraId="58B10B31" w14:textId="34D70C79" w:rsidR="003955F8" w:rsidRPr="00C108C9" w:rsidRDefault="00AA70E4" w:rsidP="00013F1A">
      <w:pPr>
        <w:pStyle w:val="ListParagraph"/>
        <w:numPr>
          <w:ilvl w:val="0"/>
          <w:numId w:val="10"/>
        </w:numPr>
        <w:jc w:val="both"/>
        <w:rPr>
          <w:rFonts w:ascii="Times New Roman" w:hAnsi="Times New Roman"/>
          <w:b/>
          <w:i/>
          <w:sz w:val="22"/>
          <w:szCs w:val="22"/>
        </w:rPr>
      </w:pPr>
      <w:r w:rsidRPr="003B649D">
        <w:rPr>
          <w:rFonts w:ascii="Times New Roman" w:hAnsi="Times New Roman"/>
          <w:sz w:val="22"/>
          <w:szCs w:val="22"/>
        </w:rPr>
        <w:t xml:space="preserve">Except for </w:t>
      </w:r>
      <w:r w:rsidR="00131ADA" w:rsidRPr="00F2305B">
        <w:rPr>
          <w:rFonts w:ascii="Times New Roman" w:hAnsi="Times New Roman"/>
          <w:sz w:val="22"/>
          <w:szCs w:val="22"/>
        </w:rPr>
        <w:t>the areas listed above</w:t>
      </w:r>
      <w:r w:rsidR="00F2305B" w:rsidRPr="00F2305B">
        <w:rPr>
          <w:rFonts w:ascii="Times New Roman" w:hAnsi="Times New Roman"/>
          <w:sz w:val="22"/>
          <w:szCs w:val="22"/>
        </w:rPr>
        <w:t xml:space="preserve">, </w:t>
      </w:r>
      <w:r w:rsidR="007938CC" w:rsidRPr="00505DFA">
        <w:rPr>
          <w:rFonts w:ascii="Times New Roman" w:hAnsi="Times New Roman"/>
          <w:sz w:val="22"/>
          <w:szCs w:val="22"/>
        </w:rPr>
        <w:t>auditors</w:t>
      </w:r>
      <w:r w:rsidR="007938CC">
        <w:rPr>
          <w:rFonts w:ascii="Times New Roman" w:hAnsi="Times New Roman"/>
          <w:sz w:val="22"/>
          <w:szCs w:val="22"/>
        </w:rPr>
        <w:t xml:space="preserve"> </w:t>
      </w:r>
      <w:r w:rsidR="007938CC" w:rsidRPr="00505DFA">
        <w:rPr>
          <w:rFonts w:ascii="Times New Roman" w:hAnsi="Times New Roman"/>
          <w:sz w:val="22"/>
          <w:szCs w:val="22"/>
        </w:rPr>
        <w:t xml:space="preserve">can </w:t>
      </w:r>
      <w:r w:rsidR="007938CC" w:rsidRPr="00786FD1">
        <w:rPr>
          <w:rFonts w:ascii="Times New Roman" w:hAnsi="Times New Roman"/>
          <w:b/>
          <w:i/>
          <w:sz w:val="22"/>
          <w:szCs w:val="22"/>
        </w:rPr>
        <w:t>generally</w:t>
      </w:r>
      <w:r w:rsidR="007938CC" w:rsidRPr="00505DFA">
        <w:rPr>
          <w:rFonts w:ascii="Times New Roman" w:hAnsi="Times New Roman"/>
          <w:sz w:val="22"/>
          <w:szCs w:val="22"/>
        </w:rPr>
        <w:t xml:space="preserve"> rotate substantive compliance </w:t>
      </w:r>
      <w:r w:rsidR="003955F8" w:rsidRPr="00505DFA">
        <w:rPr>
          <w:rFonts w:ascii="Times New Roman" w:hAnsi="Times New Roman"/>
          <w:sz w:val="22"/>
          <w:szCs w:val="22"/>
        </w:rPr>
        <w:t>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14:paraId="1B074061"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This applies to annual and biannual audits.</w:t>
      </w:r>
    </w:p>
    <w:p w14:paraId="003D7A19" w14:textId="77777777" w:rsidR="003955F8" w:rsidRPr="003955F8" w:rsidRDefault="003955F8" w:rsidP="00013F1A">
      <w:pPr>
        <w:pStyle w:val="ListParagraph"/>
        <w:numPr>
          <w:ilvl w:val="2"/>
          <w:numId w:val="10"/>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w:t>
      </w:r>
      <w:r w:rsidR="00767CAD">
        <w:rPr>
          <w:rFonts w:ascii="Times New Roman" w:hAnsi="Times New Roman"/>
          <w:sz w:val="22"/>
          <w:szCs w:val="22"/>
        </w:rPr>
        <w:t>0</w:t>
      </w:r>
      <w:r w:rsidR="00E45ED6">
        <w:rPr>
          <w:rFonts w:ascii="Times New Roman" w:hAnsi="Times New Roman"/>
          <w:sz w:val="22"/>
          <w:szCs w:val="22"/>
        </w:rPr>
        <w:t>16 and 2017</w:t>
      </w:r>
      <w:r w:rsidRPr="003955F8">
        <w:rPr>
          <w:rFonts w:ascii="Times New Roman" w:hAnsi="Times New Roman"/>
          <w:sz w:val="22"/>
          <w:szCs w:val="22"/>
        </w:rPr>
        <w:t xml:space="preserve"> audit and found them to be compliant, you normally</w:t>
      </w:r>
      <w:r w:rsidR="00E45ED6">
        <w:rPr>
          <w:rFonts w:ascii="Times New Roman" w:hAnsi="Times New Roman"/>
          <w:sz w:val="22"/>
          <w:szCs w:val="22"/>
        </w:rPr>
        <w:t xml:space="preserve"> can omit this test for the 2018 and 2019</w:t>
      </w:r>
      <w:r w:rsidRPr="003955F8">
        <w:rPr>
          <w:rFonts w:ascii="Times New Roman" w:hAnsi="Times New Roman"/>
          <w:sz w:val="22"/>
          <w:szCs w:val="22"/>
        </w:rPr>
        <w:t xml:space="preserve"> audit.  </w:t>
      </w:r>
    </w:p>
    <w:p w14:paraId="5181AEAE" w14:textId="77777777" w:rsidR="003955F8" w:rsidRPr="00836E9A" w:rsidRDefault="003955F8" w:rsidP="00013F1A">
      <w:pPr>
        <w:pStyle w:val="ListParagraph"/>
        <w:numPr>
          <w:ilvl w:val="2"/>
          <w:numId w:val="10"/>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14:paraId="443F366E" w14:textId="77777777" w:rsidR="003955F8" w:rsidRPr="003955F8" w:rsidRDefault="003955F8" w:rsidP="003955F8">
      <w:pPr>
        <w:pStyle w:val="ListParagraph"/>
        <w:ind w:left="1440"/>
        <w:jc w:val="both"/>
        <w:rPr>
          <w:rFonts w:ascii="Times New Roman" w:hAnsi="Times New Roman"/>
          <w:sz w:val="22"/>
          <w:szCs w:val="22"/>
        </w:rPr>
      </w:pPr>
    </w:p>
    <w:p w14:paraId="4817F393" w14:textId="77777777" w:rsidR="003955F8" w:rsidRPr="00AA70E4"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14:paraId="59E83188" w14:textId="77777777" w:rsidR="00344A88" w:rsidRPr="003B649D" w:rsidRDefault="00344A88" w:rsidP="00A36D21">
      <w:pPr>
        <w:pStyle w:val="ListParagraph"/>
        <w:numPr>
          <w:ilvl w:val="1"/>
          <w:numId w:val="10"/>
        </w:numPr>
        <w:jc w:val="both"/>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3955F8" w:rsidRDefault="003955F8" w:rsidP="00013F1A">
      <w:pPr>
        <w:pStyle w:val="ListParagraph"/>
        <w:numPr>
          <w:ilvl w:val="1"/>
          <w:numId w:val="10"/>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14:paraId="792F35FE" w14:textId="77777777" w:rsidR="003955F8" w:rsidRPr="00C24E5A"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14:paraId="23374DF5" w14:textId="77777777" w:rsidR="003955F8" w:rsidRPr="00C24E5A" w:rsidRDefault="003955F8" w:rsidP="00013F1A">
      <w:pPr>
        <w:pStyle w:val="ListParagraph"/>
        <w:numPr>
          <w:ilvl w:val="1"/>
          <w:numId w:val="10"/>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14:paraId="1BB66D13" w14:textId="77777777" w:rsidR="003955F8" w:rsidRPr="003955F8" w:rsidRDefault="003955F8" w:rsidP="00013F1A">
      <w:pPr>
        <w:pStyle w:val="ListParagraph"/>
        <w:numPr>
          <w:ilvl w:val="2"/>
          <w:numId w:val="10"/>
        </w:numPr>
        <w:jc w:val="both"/>
        <w:rPr>
          <w:rFonts w:ascii="Times New Roman" w:hAnsi="Times New Roman"/>
          <w:sz w:val="22"/>
          <w:szCs w:val="22"/>
        </w:rPr>
      </w:pPr>
      <w:r w:rsidRPr="00C24E5A">
        <w:rPr>
          <w:rFonts w:ascii="Times New Roman" w:hAnsi="Times New Roman"/>
          <w:sz w:val="22"/>
          <w:szCs w:val="22"/>
        </w:rPr>
        <w:lastRenderedPageBreak/>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it is inappropriate to rely on a control that has changed since the auditor’s last test of its operating</w:t>
      </w:r>
      <w:r w:rsidRPr="003955F8">
        <w:rPr>
          <w:rFonts w:ascii="Times New Roman" w:hAnsi="Times New Roman"/>
          <w:sz w:val="22"/>
          <w:szCs w:val="22"/>
        </w:rPr>
        <w:t xml:space="preserve">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3955F8"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3955F8" w:rsidRDefault="003955F8" w:rsidP="00013F1A">
      <w:pPr>
        <w:pStyle w:val="ListParagraph"/>
        <w:widowControl w:val="0"/>
        <w:numPr>
          <w:ilvl w:val="0"/>
          <w:numId w:val="10"/>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1ECF81EC" w14:textId="77777777" w:rsidR="0065163D" w:rsidRDefault="0065163D" w:rsidP="00DC7304">
      <w:pPr>
        <w:rPr>
          <w:rFonts w:ascii="Times New Roman" w:hAnsi="Times New Roman"/>
          <w:b/>
          <w:sz w:val="22"/>
          <w:szCs w:val="22"/>
        </w:rPr>
      </w:pPr>
    </w:p>
    <w:p w14:paraId="4EB6EB68" w14:textId="48CA9554" w:rsidR="003955F8" w:rsidRDefault="00F87B8F" w:rsidP="00DC7304">
      <w:pPr>
        <w:rPr>
          <w:rFonts w:ascii="Times New Roman" w:hAnsi="Times New Roman"/>
          <w:b/>
          <w:sz w:val="22"/>
          <w:szCs w:val="22"/>
        </w:rPr>
      </w:pPr>
      <w:r w:rsidRPr="00F87B8F">
        <w:rPr>
          <w:rFonts w:ascii="Times New Roman" w:hAnsi="Times New Roman"/>
          <w:b/>
          <w:noProof/>
          <w:sz w:val="22"/>
          <w:szCs w:val="22"/>
        </w:rPr>
        <mc:AlternateContent>
          <mc:Choice Requires="wps">
            <w:drawing>
              <wp:anchor distT="45720" distB="45720" distL="114300" distR="114300" simplePos="0" relativeHeight="251663360" behindDoc="0" locked="0" layoutInCell="1" allowOverlap="1" wp14:anchorId="55574D24" wp14:editId="48A178A3">
                <wp:simplePos x="0" y="0"/>
                <wp:positionH relativeFrom="margin">
                  <wp:align>right</wp:align>
                </wp:positionH>
                <wp:positionV relativeFrom="paragraph">
                  <wp:posOffset>245178</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77777777" w:rsidR="006C6DDE" w:rsidRPr="00040FF3" w:rsidRDefault="006C6DDE" w:rsidP="00F87B8F">
                            <w:pPr>
                              <w:jc w:val="center"/>
                              <w:rPr>
                                <w:sz w:val="28"/>
                                <w:szCs w:val="28"/>
                                <w:u w:val="double"/>
                              </w:rPr>
                            </w:pPr>
                            <w:r w:rsidRPr="00040FF3">
                              <w:rPr>
                                <w:rFonts w:ascii="Times New Roman" w:hAnsi="Times New Roman"/>
                                <w:b/>
                                <w:color w:val="FF0000"/>
                                <w:sz w:val="28"/>
                                <w:szCs w:val="28"/>
                                <w:u w:val="double"/>
                                <w:lang w:eastAsia="ja-JP"/>
                              </w:rPr>
                              <w:t>NOTE:  Red text throughout this 2021 Ohio Compliance Supplement is a change related to COVID-19</w:t>
                            </w:r>
                          </w:p>
                          <w:p w14:paraId="12C5AFB8" w14:textId="31B6B766" w:rsidR="006C6DDE" w:rsidRDefault="006C6D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Text Box 2" o:spid="_x0000_s1026" type="#_x0000_t202" style="position:absolute;margin-left:415.45pt;margin-top:19.3pt;width:46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">
                <v:textbox style="mso-fit-shape-to-text:t">
                  <w:txbxContent>
                    <w:p w14:paraId="49A67EE0" w14:textId="77777777" w:rsidR="006C6DDE" w:rsidRPr="00040FF3" w:rsidRDefault="006C6DDE" w:rsidP="00F87B8F">
                      <w:pPr>
                        <w:jc w:val="center"/>
                        <w:rPr>
                          <w:sz w:val="28"/>
                          <w:szCs w:val="28"/>
                          <w:u w:val="double"/>
                        </w:rPr>
                      </w:pPr>
                      <w:r w:rsidRPr="00040FF3">
                        <w:rPr>
                          <w:rFonts w:ascii="Times New Roman" w:hAnsi="Times New Roman"/>
                          <w:b/>
                          <w:color w:val="FF0000"/>
                          <w:sz w:val="28"/>
                          <w:szCs w:val="28"/>
                          <w:u w:val="double"/>
                          <w:lang w:eastAsia="ja-JP"/>
                        </w:rPr>
                        <w:t>NOTE:  Red text throughout this 2021 Ohio Compliance Supplement is a change related to COVID-19</w:t>
                      </w:r>
                    </w:p>
                    <w:p w14:paraId="12C5AFB8" w14:textId="31B6B766" w:rsidR="006C6DDE" w:rsidRDefault="006C6DDE"/>
                  </w:txbxContent>
                </v:textbox>
                <w10:wrap type="square" anchorx="margin"/>
              </v:shape>
            </w:pict>
          </mc:Fallback>
        </mc:AlternateContent>
      </w:r>
    </w:p>
    <w:p w14:paraId="74B24CB1" w14:textId="1A68B204" w:rsidR="00D737EF" w:rsidRDefault="00D737EF" w:rsidP="00DC7304">
      <w:pPr>
        <w:rPr>
          <w:rFonts w:ascii="Times New Roman" w:hAnsi="Times New Roman"/>
          <w:b/>
          <w:sz w:val="22"/>
          <w:szCs w:val="22"/>
        </w:rPr>
      </w:pPr>
    </w:p>
    <w:p w14:paraId="3D8201A5" w14:textId="77777777" w:rsidR="0065163D" w:rsidRPr="00CA0E1A" w:rsidRDefault="0065163D" w:rsidP="00DC7304">
      <w:pPr>
        <w:rPr>
          <w:rFonts w:ascii="Times New Roman" w:hAnsi="Times New Roman"/>
          <w:b/>
          <w:sz w:val="22"/>
          <w:szCs w:val="22"/>
        </w:rPr>
      </w:pPr>
    </w:p>
    <w:p w14:paraId="7565515F" w14:textId="2FB55FE1" w:rsidR="00D57AA1" w:rsidRDefault="00D737EF">
      <w:pPr>
        <w:pStyle w:val="TOC1"/>
        <w:tabs>
          <w:tab w:val="right" w:leader="dot" w:pos="9350"/>
        </w:tabs>
        <w:rPr>
          <w:rFonts w:asciiTheme="minorHAnsi" w:eastAsiaTheme="minorEastAsia" w:hAnsiTheme="minorHAnsi" w:cstheme="minorBidi"/>
          <w:b w:val="0"/>
          <w:i w:val="0"/>
          <w:caps w:val="0"/>
          <w:noProof/>
          <w:szCs w:val="22"/>
        </w:rPr>
      </w:pPr>
      <w:r>
        <w:rPr>
          <w:b w:val="0"/>
          <w:szCs w:val="22"/>
        </w:rPr>
        <w:fldChar w:fldCharType="begin"/>
      </w:r>
      <w:r>
        <w:rPr>
          <w:b w:val="0"/>
          <w:szCs w:val="22"/>
        </w:rPr>
        <w:instrText xml:space="preserve"> TOC \o "1-3" \h \z \u </w:instrText>
      </w:r>
      <w:r>
        <w:rPr>
          <w:b w:val="0"/>
          <w:szCs w:val="22"/>
        </w:rPr>
        <w:fldChar w:fldCharType="separate"/>
      </w:r>
      <w:r w:rsidR="00A36D21">
        <w:rPr>
          <w:noProof/>
        </w:rPr>
        <w:fldChar w:fldCharType="begin"/>
      </w:r>
      <w:r w:rsidR="00A36D21">
        <w:rPr>
          <w:noProof/>
        </w:rPr>
        <w:instrText xml:space="preserve"> HYPERLINK \l "_Toc56760204" </w:instrText>
      </w:r>
      <w:r w:rsidR="00A36D21">
        <w:rPr>
          <w:noProof/>
        </w:rPr>
      </w:r>
      <w:r w:rsidR="00A36D21">
        <w:rPr>
          <w:noProof/>
        </w:rPr>
        <w:fldChar w:fldCharType="separate"/>
      </w:r>
      <w:r w:rsidR="00D57AA1" w:rsidRPr="00A009D6">
        <w:rPr>
          <w:rStyle w:val="Hyperlink"/>
          <w:noProof/>
        </w:rPr>
        <w:t>GENERAL</w:t>
      </w:r>
      <w:bookmarkStart w:id="0" w:name="_GoBack"/>
      <w:bookmarkEnd w:id="0"/>
      <w:r w:rsidR="00D57AA1">
        <w:rPr>
          <w:noProof/>
          <w:webHidden/>
        </w:rPr>
        <w:tab/>
      </w:r>
      <w:r w:rsidR="00D57AA1">
        <w:rPr>
          <w:noProof/>
          <w:webHidden/>
        </w:rPr>
        <w:fldChar w:fldCharType="begin"/>
      </w:r>
      <w:r w:rsidR="00D57AA1">
        <w:rPr>
          <w:noProof/>
          <w:webHidden/>
        </w:rPr>
        <w:instrText xml:space="preserve"> PAGEREF _Toc56760204 \h </w:instrText>
      </w:r>
      <w:r w:rsidR="00D57AA1">
        <w:rPr>
          <w:noProof/>
          <w:webHidden/>
        </w:rPr>
      </w:r>
      <w:r w:rsidR="00D57AA1">
        <w:rPr>
          <w:noProof/>
          <w:webHidden/>
        </w:rPr>
        <w:fldChar w:fldCharType="separate"/>
      </w:r>
      <w:r w:rsidR="00A36D21">
        <w:rPr>
          <w:noProof/>
          <w:webHidden/>
        </w:rPr>
        <w:t>4</w:t>
      </w:r>
      <w:r w:rsidR="00D57AA1">
        <w:rPr>
          <w:noProof/>
          <w:webHidden/>
        </w:rPr>
        <w:fldChar w:fldCharType="end"/>
      </w:r>
      <w:r w:rsidR="00A36D21">
        <w:rPr>
          <w:noProof/>
        </w:rPr>
        <w:fldChar w:fldCharType="end"/>
      </w:r>
    </w:p>
    <w:p w14:paraId="4AEF8FCA" w14:textId="3727A0A4" w:rsidR="00D57AA1" w:rsidRDefault="00A36D21">
      <w:pPr>
        <w:pStyle w:val="TOC3"/>
        <w:rPr>
          <w:rFonts w:asciiTheme="minorHAnsi" w:eastAsiaTheme="minorEastAsia" w:hAnsiTheme="minorHAnsi" w:cstheme="minorBidi"/>
          <w:szCs w:val="22"/>
        </w:rPr>
      </w:pPr>
      <w:hyperlink w:anchor="_Toc56760205" w:history="1">
        <w:r w:rsidR="00D57AA1" w:rsidRPr="00A009D6">
          <w:rPr>
            <w:rStyle w:val="Hyperlink"/>
          </w:rPr>
          <w:t>3-1</w:t>
        </w:r>
        <w:r w:rsidR="00D57AA1">
          <w:rPr>
            <w:rFonts w:asciiTheme="minorHAnsi" w:eastAsiaTheme="minorEastAsia" w:hAnsiTheme="minorHAnsi" w:cstheme="minorBidi"/>
            <w:szCs w:val="22"/>
          </w:rPr>
          <w:tab/>
        </w:r>
        <w:r w:rsidR="00D57AA1" w:rsidRPr="00A009D6">
          <w:rPr>
            <w:rStyle w:val="Hyperlink"/>
          </w:rPr>
          <w:t>Compliance Requirement: Ohio Rev. Code § 9.38 - Deposits of public money.</w:t>
        </w:r>
        <w:r w:rsidR="00D57AA1">
          <w:rPr>
            <w:webHidden/>
          </w:rPr>
          <w:tab/>
        </w:r>
        <w:r w:rsidR="00D57AA1">
          <w:rPr>
            <w:webHidden/>
          </w:rPr>
          <w:fldChar w:fldCharType="begin"/>
        </w:r>
        <w:r w:rsidR="00D57AA1">
          <w:rPr>
            <w:webHidden/>
          </w:rPr>
          <w:instrText xml:space="preserve"> PAGEREF _Toc56760205 \h </w:instrText>
        </w:r>
        <w:r w:rsidR="00D57AA1">
          <w:rPr>
            <w:webHidden/>
          </w:rPr>
        </w:r>
        <w:r w:rsidR="00D57AA1">
          <w:rPr>
            <w:webHidden/>
          </w:rPr>
          <w:fldChar w:fldCharType="separate"/>
        </w:r>
        <w:r>
          <w:rPr>
            <w:webHidden/>
          </w:rPr>
          <w:t>4</w:t>
        </w:r>
        <w:r w:rsidR="00D57AA1">
          <w:rPr>
            <w:webHidden/>
          </w:rPr>
          <w:fldChar w:fldCharType="end"/>
        </w:r>
      </w:hyperlink>
    </w:p>
    <w:p w14:paraId="636C0FF9" w14:textId="4378BDA5" w:rsidR="00D57AA1" w:rsidRDefault="00A36D21">
      <w:pPr>
        <w:pStyle w:val="TOC3"/>
        <w:rPr>
          <w:rFonts w:asciiTheme="minorHAnsi" w:eastAsiaTheme="minorEastAsia" w:hAnsiTheme="minorHAnsi" w:cstheme="minorBidi"/>
          <w:szCs w:val="22"/>
        </w:rPr>
      </w:pPr>
      <w:hyperlink w:anchor="_Toc56760206" w:history="1">
        <w:r w:rsidR="00D57AA1" w:rsidRPr="00A009D6">
          <w:rPr>
            <w:rStyle w:val="Hyperlink"/>
          </w:rPr>
          <w:t>3-2</w:t>
        </w:r>
        <w:r w:rsidR="00D57AA1">
          <w:rPr>
            <w:webHidden/>
          </w:rPr>
          <w:tab/>
        </w:r>
        <w:r w:rsidR="0065163D">
          <w:rPr>
            <w:webHidden/>
          </w:rPr>
          <w:t>This section intentionally lef</w:t>
        </w:r>
        <w:r w:rsidR="0065163D">
          <w:rPr>
            <w:webHidden/>
          </w:rPr>
          <w:t>t</w:t>
        </w:r>
        <w:r w:rsidR="0065163D">
          <w:rPr>
            <w:webHidden/>
          </w:rPr>
          <w:t xml:space="preserve"> blank</w:t>
        </w:r>
        <w:r w:rsidR="0065163D">
          <w:rPr>
            <w:webHidden/>
          </w:rPr>
          <w:tab/>
        </w:r>
        <w:r w:rsidR="00D57AA1">
          <w:rPr>
            <w:webHidden/>
          </w:rPr>
          <w:fldChar w:fldCharType="begin"/>
        </w:r>
        <w:r w:rsidR="00D57AA1">
          <w:rPr>
            <w:webHidden/>
          </w:rPr>
          <w:instrText xml:space="preserve"> PAGEREF _Toc56760206 \h </w:instrText>
        </w:r>
        <w:r w:rsidR="00D57AA1">
          <w:rPr>
            <w:webHidden/>
          </w:rPr>
        </w:r>
        <w:r w:rsidR="00D57AA1">
          <w:rPr>
            <w:webHidden/>
          </w:rPr>
          <w:fldChar w:fldCharType="separate"/>
        </w:r>
        <w:r>
          <w:rPr>
            <w:webHidden/>
          </w:rPr>
          <w:t>6</w:t>
        </w:r>
        <w:r w:rsidR="00D57AA1">
          <w:rPr>
            <w:webHidden/>
          </w:rPr>
          <w:fldChar w:fldCharType="end"/>
        </w:r>
      </w:hyperlink>
    </w:p>
    <w:p w14:paraId="43ADAA42" w14:textId="68950079" w:rsidR="00D57AA1" w:rsidRDefault="00A36D21">
      <w:pPr>
        <w:pStyle w:val="TOC3"/>
        <w:rPr>
          <w:rFonts w:asciiTheme="minorHAnsi" w:eastAsiaTheme="minorEastAsia" w:hAnsiTheme="minorHAnsi" w:cstheme="minorBidi"/>
          <w:szCs w:val="22"/>
        </w:rPr>
      </w:pPr>
      <w:hyperlink w:anchor="_Toc56760207" w:history="1">
        <w:r w:rsidR="00D57AA1" w:rsidRPr="00A009D6">
          <w:rPr>
            <w:rStyle w:val="Hyperlink"/>
          </w:rPr>
          <w:t xml:space="preserve">3-3 </w:t>
        </w:r>
        <w:r w:rsidR="00D57AA1">
          <w:rPr>
            <w:rFonts w:asciiTheme="minorHAnsi" w:eastAsiaTheme="minorEastAsia" w:hAnsiTheme="minorHAnsi" w:cstheme="minorBidi"/>
            <w:szCs w:val="22"/>
          </w:rPr>
          <w:tab/>
        </w:r>
        <w:r w:rsidR="00D57AA1" w:rsidRPr="00A009D6">
          <w:rPr>
            <w:rStyle w:val="Hyperlink"/>
          </w:rPr>
          <w:t>Compliance Requirements: Various Ohio Rev. Code sections – Appointments, compensation, contracts etc.</w:t>
        </w:r>
        <w:r w:rsidR="00D57AA1">
          <w:rPr>
            <w:webHidden/>
          </w:rPr>
          <w:tab/>
        </w:r>
        <w:r w:rsidR="00D57AA1">
          <w:rPr>
            <w:webHidden/>
          </w:rPr>
          <w:fldChar w:fldCharType="begin"/>
        </w:r>
        <w:r w:rsidR="00D57AA1">
          <w:rPr>
            <w:webHidden/>
          </w:rPr>
          <w:instrText xml:space="preserve"> PAGEREF _Toc56760207 \h </w:instrText>
        </w:r>
        <w:r w:rsidR="00D57AA1">
          <w:rPr>
            <w:webHidden/>
          </w:rPr>
        </w:r>
        <w:r w:rsidR="00D57AA1">
          <w:rPr>
            <w:webHidden/>
          </w:rPr>
          <w:fldChar w:fldCharType="separate"/>
        </w:r>
        <w:r>
          <w:rPr>
            <w:webHidden/>
          </w:rPr>
          <w:t>7</w:t>
        </w:r>
        <w:r w:rsidR="00D57AA1">
          <w:rPr>
            <w:webHidden/>
          </w:rPr>
          <w:fldChar w:fldCharType="end"/>
        </w:r>
      </w:hyperlink>
    </w:p>
    <w:p w14:paraId="786987E8" w14:textId="214253D3" w:rsidR="00D57AA1" w:rsidRDefault="00A36D21">
      <w:pPr>
        <w:pStyle w:val="TOC3"/>
        <w:rPr>
          <w:rFonts w:asciiTheme="minorHAnsi" w:eastAsiaTheme="minorEastAsia" w:hAnsiTheme="minorHAnsi" w:cstheme="minorBidi"/>
          <w:szCs w:val="22"/>
        </w:rPr>
      </w:pPr>
      <w:hyperlink w:anchor="_Toc56760208" w:history="1">
        <w:r w:rsidR="00D57AA1" w:rsidRPr="00A009D6">
          <w:rPr>
            <w:rStyle w:val="Hyperlink"/>
          </w:rPr>
          <w:t xml:space="preserve">3-4 </w:t>
        </w:r>
        <w:r w:rsidR="00D57AA1">
          <w:rPr>
            <w:rFonts w:asciiTheme="minorHAnsi" w:eastAsiaTheme="minorEastAsia" w:hAnsiTheme="minorHAnsi" w:cstheme="minorBidi"/>
            <w:szCs w:val="22"/>
          </w:rPr>
          <w:tab/>
        </w:r>
        <w:r w:rsidR="00D57AA1" w:rsidRPr="00A009D6">
          <w:rPr>
            <w:rStyle w:val="Hyperlink"/>
          </w:rPr>
          <w:t>Compliance Requirements: Ohio Rev. Code §</w:t>
        </w:r>
        <w:r w:rsidR="00585A31" w:rsidRPr="00585A31">
          <w:rPr>
            <w:rStyle w:val="Hyperlink"/>
          </w:rPr>
          <w:t>§</w:t>
        </w:r>
        <w:r w:rsidR="00D57AA1" w:rsidRPr="00A009D6">
          <w:rPr>
            <w:rStyle w:val="Hyperlink"/>
          </w:rPr>
          <w:t xml:space="preserve"> 9.03, 124.57, 124.59, 124.61 and 3315.07(C) - Political activities prohibited.</w:t>
        </w:r>
        <w:r w:rsidR="00D57AA1">
          <w:rPr>
            <w:webHidden/>
          </w:rPr>
          <w:tab/>
        </w:r>
        <w:r w:rsidR="00D57AA1">
          <w:rPr>
            <w:webHidden/>
          </w:rPr>
          <w:fldChar w:fldCharType="begin"/>
        </w:r>
        <w:r w:rsidR="00D57AA1">
          <w:rPr>
            <w:webHidden/>
          </w:rPr>
          <w:instrText xml:space="preserve"> PAGEREF _Toc56760208 \h </w:instrText>
        </w:r>
        <w:r w:rsidR="00D57AA1">
          <w:rPr>
            <w:webHidden/>
          </w:rPr>
        </w:r>
        <w:r w:rsidR="00D57AA1">
          <w:rPr>
            <w:webHidden/>
          </w:rPr>
          <w:fldChar w:fldCharType="separate"/>
        </w:r>
        <w:r>
          <w:rPr>
            <w:webHidden/>
          </w:rPr>
          <w:t>11</w:t>
        </w:r>
        <w:r w:rsidR="00D57AA1">
          <w:rPr>
            <w:webHidden/>
          </w:rPr>
          <w:fldChar w:fldCharType="end"/>
        </w:r>
      </w:hyperlink>
    </w:p>
    <w:p w14:paraId="038FB8A2" w14:textId="7631AE94" w:rsidR="00D57AA1" w:rsidRDefault="00A36D21">
      <w:pPr>
        <w:pStyle w:val="TOC3"/>
        <w:rPr>
          <w:rFonts w:asciiTheme="minorHAnsi" w:eastAsiaTheme="minorEastAsia" w:hAnsiTheme="minorHAnsi" w:cstheme="minorBidi"/>
          <w:szCs w:val="22"/>
        </w:rPr>
      </w:pPr>
      <w:hyperlink w:anchor="_Toc56760209" w:history="1">
        <w:r w:rsidR="00D57AA1" w:rsidRPr="00A009D6">
          <w:rPr>
            <w:rStyle w:val="Hyperlink"/>
          </w:rPr>
          <w:t xml:space="preserve">3-5 </w:t>
        </w:r>
        <w:r w:rsidR="00D57AA1">
          <w:rPr>
            <w:rFonts w:asciiTheme="minorHAnsi" w:eastAsiaTheme="minorEastAsia" w:hAnsiTheme="minorHAnsi" w:cstheme="minorBidi"/>
            <w:szCs w:val="22"/>
          </w:rPr>
          <w:tab/>
        </w:r>
        <w:r w:rsidR="00D57AA1" w:rsidRPr="00A009D6">
          <w:rPr>
            <w:rStyle w:val="Hyperlink"/>
          </w:rPr>
          <w:t>Compliance Requirement:  Ohio Rev. Code §</w:t>
        </w:r>
        <w:r w:rsidR="00585A31" w:rsidRPr="00585A31">
          <w:rPr>
            <w:rStyle w:val="Hyperlink"/>
          </w:rPr>
          <w:t>§</w:t>
        </w:r>
        <w:r w:rsidR="00D57AA1" w:rsidRPr="00A009D6">
          <w:rPr>
            <w:rStyle w:val="Hyperlink"/>
          </w:rPr>
          <w:t xml:space="preserve"> 3.06, 3.30 and various others specific to Universities - Bonding requirements</w:t>
        </w:r>
        <w:r w:rsidR="00D57AA1">
          <w:rPr>
            <w:webHidden/>
          </w:rPr>
          <w:tab/>
        </w:r>
        <w:r w:rsidR="00D57AA1">
          <w:rPr>
            <w:webHidden/>
          </w:rPr>
          <w:fldChar w:fldCharType="begin"/>
        </w:r>
        <w:r w:rsidR="00D57AA1">
          <w:rPr>
            <w:webHidden/>
          </w:rPr>
          <w:instrText xml:space="preserve"> PAGEREF _Toc56760209 \h </w:instrText>
        </w:r>
        <w:r w:rsidR="00D57AA1">
          <w:rPr>
            <w:webHidden/>
          </w:rPr>
        </w:r>
        <w:r w:rsidR="00D57AA1">
          <w:rPr>
            <w:webHidden/>
          </w:rPr>
          <w:fldChar w:fldCharType="separate"/>
        </w:r>
        <w:r>
          <w:rPr>
            <w:webHidden/>
          </w:rPr>
          <w:t>13</w:t>
        </w:r>
        <w:r w:rsidR="00D57AA1">
          <w:rPr>
            <w:webHidden/>
          </w:rPr>
          <w:fldChar w:fldCharType="end"/>
        </w:r>
      </w:hyperlink>
    </w:p>
    <w:p w14:paraId="3BAAE150" w14:textId="3142F642"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10" w:history="1">
        <w:r w:rsidR="00D57AA1" w:rsidRPr="00A009D6">
          <w:rPr>
            <w:rStyle w:val="Hyperlink"/>
            <w:noProof/>
          </w:rPr>
          <w:t>COMMUNITY SCHOOLS</w:t>
        </w:r>
        <w:r w:rsidR="00D57AA1">
          <w:rPr>
            <w:noProof/>
            <w:webHidden/>
          </w:rPr>
          <w:tab/>
        </w:r>
        <w:r w:rsidR="00D57AA1">
          <w:rPr>
            <w:noProof/>
            <w:webHidden/>
          </w:rPr>
          <w:fldChar w:fldCharType="begin"/>
        </w:r>
        <w:r w:rsidR="00D57AA1">
          <w:rPr>
            <w:noProof/>
            <w:webHidden/>
          </w:rPr>
          <w:instrText xml:space="preserve"> PAGEREF _Toc56760210 \h </w:instrText>
        </w:r>
        <w:r w:rsidR="00D57AA1">
          <w:rPr>
            <w:noProof/>
            <w:webHidden/>
          </w:rPr>
        </w:r>
        <w:r w:rsidR="00D57AA1">
          <w:rPr>
            <w:noProof/>
            <w:webHidden/>
          </w:rPr>
          <w:fldChar w:fldCharType="separate"/>
        </w:r>
        <w:r>
          <w:rPr>
            <w:noProof/>
            <w:webHidden/>
          </w:rPr>
          <w:t>15</w:t>
        </w:r>
        <w:r w:rsidR="00D57AA1">
          <w:rPr>
            <w:noProof/>
            <w:webHidden/>
          </w:rPr>
          <w:fldChar w:fldCharType="end"/>
        </w:r>
      </w:hyperlink>
    </w:p>
    <w:p w14:paraId="25929853" w14:textId="2140B120" w:rsidR="00D57AA1" w:rsidRDefault="00A36D21">
      <w:pPr>
        <w:pStyle w:val="TOC3"/>
        <w:rPr>
          <w:rFonts w:asciiTheme="minorHAnsi" w:eastAsiaTheme="minorEastAsia" w:hAnsiTheme="minorHAnsi" w:cstheme="minorBidi"/>
          <w:szCs w:val="22"/>
        </w:rPr>
      </w:pPr>
      <w:hyperlink w:anchor="_Toc56760211" w:history="1">
        <w:r w:rsidR="00D57AA1" w:rsidRPr="00A009D6">
          <w:rPr>
            <w:rStyle w:val="Hyperlink"/>
          </w:rPr>
          <w:t>3-6 Compliance Requirement: Ohio Rev. Code §§ 3301.0710, 3301.0712, 3314.017, 3314.034, 3314.38; Ohio Admin. Code 3301-102-10 - Dropout Prevention and Recovery School Eligibility Requirements</w:t>
        </w:r>
        <w:r w:rsidR="00D57AA1">
          <w:rPr>
            <w:webHidden/>
          </w:rPr>
          <w:tab/>
        </w:r>
        <w:r w:rsidR="00D57AA1">
          <w:rPr>
            <w:webHidden/>
          </w:rPr>
          <w:fldChar w:fldCharType="begin"/>
        </w:r>
        <w:r w:rsidR="00D57AA1">
          <w:rPr>
            <w:webHidden/>
          </w:rPr>
          <w:instrText xml:space="preserve"> PAGEREF _Toc56760211 \h </w:instrText>
        </w:r>
        <w:r w:rsidR="00D57AA1">
          <w:rPr>
            <w:webHidden/>
          </w:rPr>
        </w:r>
        <w:r w:rsidR="00D57AA1">
          <w:rPr>
            <w:webHidden/>
          </w:rPr>
          <w:fldChar w:fldCharType="separate"/>
        </w:r>
        <w:r>
          <w:rPr>
            <w:webHidden/>
          </w:rPr>
          <w:t>15</w:t>
        </w:r>
        <w:r w:rsidR="00D57AA1">
          <w:rPr>
            <w:webHidden/>
          </w:rPr>
          <w:fldChar w:fldCharType="end"/>
        </w:r>
      </w:hyperlink>
    </w:p>
    <w:p w14:paraId="03EA6EF7" w14:textId="34263BCA"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12" w:history="1">
        <w:r w:rsidR="00D57AA1" w:rsidRPr="00A009D6">
          <w:rPr>
            <w:rStyle w:val="Hyperlink"/>
            <w:noProof/>
          </w:rPr>
          <w:t>COMMISSARIES</w:t>
        </w:r>
        <w:r w:rsidR="00D57AA1">
          <w:rPr>
            <w:noProof/>
            <w:webHidden/>
          </w:rPr>
          <w:tab/>
        </w:r>
        <w:r w:rsidR="00D57AA1">
          <w:rPr>
            <w:noProof/>
            <w:webHidden/>
          </w:rPr>
          <w:fldChar w:fldCharType="begin"/>
        </w:r>
        <w:r w:rsidR="00D57AA1">
          <w:rPr>
            <w:noProof/>
            <w:webHidden/>
          </w:rPr>
          <w:instrText xml:space="preserve"> PAGEREF _Toc56760212 \h </w:instrText>
        </w:r>
        <w:r w:rsidR="00D57AA1">
          <w:rPr>
            <w:noProof/>
            <w:webHidden/>
          </w:rPr>
        </w:r>
        <w:r w:rsidR="00D57AA1">
          <w:rPr>
            <w:noProof/>
            <w:webHidden/>
          </w:rPr>
          <w:fldChar w:fldCharType="separate"/>
        </w:r>
        <w:r>
          <w:rPr>
            <w:noProof/>
            <w:webHidden/>
          </w:rPr>
          <w:t>20</w:t>
        </w:r>
        <w:r w:rsidR="00D57AA1">
          <w:rPr>
            <w:noProof/>
            <w:webHidden/>
          </w:rPr>
          <w:fldChar w:fldCharType="end"/>
        </w:r>
      </w:hyperlink>
    </w:p>
    <w:p w14:paraId="53AF9FCB" w14:textId="02C1C7FA" w:rsidR="00D57AA1" w:rsidRDefault="00A36D21">
      <w:pPr>
        <w:pStyle w:val="TOC3"/>
        <w:rPr>
          <w:rFonts w:asciiTheme="minorHAnsi" w:eastAsiaTheme="minorEastAsia" w:hAnsiTheme="minorHAnsi" w:cstheme="minorBidi"/>
          <w:szCs w:val="22"/>
        </w:rPr>
      </w:pPr>
      <w:hyperlink w:anchor="_Toc56760213" w:history="1">
        <w:r w:rsidR="00D57AA1" w:rsidRPr="00A009D6">
          <w:rPr>
            <w:rStyle w:val="Hyperlink"/>
          </w:rPr>
          <w:t>3-7</w:t>
        </w:r>
        <w:r w:rsidR="00D57AA1">
          <w:rPr>
            <w:rFonts w:asciiTheme="minorHAnsi" w:eastAsiaTheme="minorEastAsia" w:hAnsiTheme="minorHAnsi" w:cstheme="minorBidi"/>
            <w:szCs w:val="22"/>
          </w:rPr>
          <w:tab/>
        </w:r>
        <w:r w:rsidR="00D57AA1" w:rsidRPr="00A009D6">
          <w:rPr>
            <w:rStyle w:val="Hyperlink"/>
          </w:rPr>
          <w:t>Compliance Requirement:  Ohio Rev. Code §§ 307.93(F), 341.25, 753.22, and 2301.58 - Establishment and accounting treatment for commissaries.</w:t>
        </w:r>
        <w:r w:rsidR="00D57AA1">
          <w:rPr>
            <w:webHidden/>
          </w:rPr>
          <w:tab/>
        </w:r>
        <w:r w:rsidR="00D57AA1">
          <w:rPr>
            <w:webHidden/>
          </w:rPr>
          <w:fldChar w:fldCharType="begin"/>
        </w:r>
        <w:r w:rsidR="00D57AA1">
          <w:rPr>
            <w:webHidden/>
          </w:rPr>
          <w:instrText xml:space="preserve"> PAGEREF _Toc56760213 \h </w:instrText>
        </w:r>
        <w:r w:rsidR="00D57AA1">
          <w:rPr>
            <w:webHidden/>
          </w:rPr>
        </w:r>
        <w:r w:rsidR="00D57AA1">
          <w:rPr>
            <w:webHidden/>
          </w:rPr>
          <w:fldChar w:fldCharType="separate"/>
        </w:r>
        <w:r>
          <w:rPr>
            <w:webHidden/>
          </w:rPr>
          <w:t>20</w:t>
        </w:r>
        <w:r w:rsidR="00D57AA1">
          <w:rPr>
            <w:webHidden/>
          </w:rPr>
          <w:fldChar w:fldCharType="end"/>
        </w:r>
      </w:hyperlink>
    </w:p>
    <w:p w14:paraId="13921314" w14:textId="62052437"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14" w:history="1">
        <w:r w:rsidR="00D57AA1" w:rsidRPr="00A009D6">
          <w:rPr>
            <w:rStyle w:val="Hyperlink"/>
            <w:noProof/>
          </w:rPr>
          <w:t>COURTS</w:t>
        </w:r>
        <w:r w:rsidR="00D57AA1">
          <w:rPr>
            <w:noProof/>
            <w:webHidden/>
          </w:rPr>
          <w:tab/>
        </w:r>
        <w:r w:rsidR="00D57AA1">
          <w:rPr>
            <w:noProof/>
            <w:webHidden/>
          </w:rPr>
          <w:fldChar w:fldCharType="begin"/>
        </w:r>
        <w:r w:rsidR="00D57AA1">
          <w:rPr>
            <w:noProof/>
            <w:webHidden/>
          </w:rPr>
          <w:instrText xml:space="preserve"> PAGEREF _Toc56760214 \h </w:instrText>
        </w:r>
        <w:r w:rsidR="00D57AA1">
          <w:rPr>
            <w:noProof/>
            <w:webHidden/>
          </w:rPr>
        </w:r>
        <w:r w:rsidR="00D57AA1">
          <w:rPr>
            <w:noProof/>
            <w:webHidden/>
          </w:rPr>
          <w:fldChar w:fldCharType="separate"/>
        </w:r>
        <w:r>
          <w:rPr>
            <w:noProof/>
            <w:webHidden/>
          </w:rPr>
          <w:t>22</w:t>
        </w:r>
        <w:r w:rsidR="00D57AA1">
          <w:rPr>
            <w:noProof/>
            <w:webHidden/>
          </w:rPr>
          <w:fldChar w:fldCharType="end"/>
        </w:r>
      </w:hyperlink>
    </w:p>
    <w:p w14:paraId="65F2A20E" w14:textId="21B6DF63" w:rsidR="00D57AA1" w:rsidRDefault="00A36D21">
      <w:pPr>
        <w:pStyle w:val="TOC3"/>
        <w:rPr>
          <w:rFonts w:asciiTheme="minorHAnsi" w:eastAsiaTheme="minorEastAsia" w:hAnsiTheme="minorHAnsi" w:cstheme="minorBidi"/>
          <w:szCs w:val="22"/>
        </w:rPr>
      </w:pPr>
      <w:hyperlink w:anchor="_Toc56760215" w:history="1">
        <w:r w:rsidR="00D57AA1" w:rsidRPr="00A009D6">
          <w:rPr>
            <w:rStyle w:val="Hyperlink"/>
          </w:rPr>
          <w:t>3-8</w:t>
        </w:r>
        <w:r w:rsidR="00D57AA1">
          <w:rPr>
            <w:rFonts w:asciiTheme="minorHAnsi" w:eastAsiaTheme="minorEastAsia" w:hAnsiTheme="minorHAnsi" w:cstheme="minorBidi"/>
            <w:szCs w:val="22"/>
          </w:rPr>
          <w:tab/>
        </w:r>
        <w:r w:rsidR="00D57AA1" w:rsidRPr="00A009D6">
          <w:rPr>
            <w:rStyle w:val="Hyperlink"/>
          </w:rPr>
          <w:t>Compliance Requirement: Ohio Rev. Code § 2335.34 - Lists of unclaimed costs.  Ohio Rev. Code § 2335.34-35 - Disposition of unclaimed fees and costs.</w:t>
        </w:r>
        <w:r w:rsidR="00D57AA1">
          <w:rPr>
            <w:webHidden/>
          </w:rPr>
          <w:tab/>
        </w:r>
        <w:r w:rsidR="00D57AA1">
          <w:rPr>
            <w:webHidden/>
          </w:rPr>
          <w:fldChar w:fldCharType="begin"/>
        </w:r>
        <w:r w:rsidR="00D57AA1">
          <w:rPr>
            <w:webHidden/>
          </w:rPr>
          <w:instrText xml:space="preserve"> PAGEREF _Toc56760215 \h </w:instrText>
        </w:r>
        <w:r w:rsidR="00D57AA1">
          <w:rPr>
            <w:webHidden/>
          </w:rPr>
        </w:r>
        <w:r w:rsidR="00D57AA1">
          <w:rPr>
            <w:webHidden/>
          </w:rPr>
          <w:fldChar w:fldCharType="separate"/>
        </w:r>
        <w:r>
          <w:rPr>
            <w:webHidden/>
          </w:rPr>
          <w:t>22</w:t>
        </w:r>
        <w:r w:rsidR="00D57AA1">
          <w:rPr>
            <w:webHidden/>
          </w:rPr>
          <w:fldChar w:fldCharType="end"/>
        </w:r>
      </w:hyperlink>
    </w:p>
    <w:p w14:paraId="283FF158" w14:textId="304C3431" w:rsidR="00D57AA1" w:rsidRDefault="00A36D21">
      <w:pPr>
        <w:pStyle w:val="TOC3"/>
        <w:rPr>
          <w:rFonts w:asciiTheme="minorHAnsi" w:eastAsiaTheme="minorEastAsia" w:hAnsiTheme="minorHAnsi" w:cstheme="minorBidi"/>
          <w:szCs w:val="22"/>
        </w:rPr>
      </w:pPr>
      <w:hyperlink w:anchor="_Toc56760216" w:history="1">
        <w:r w:rsidR="00D57AA1" w:rsidRPr="00A009D6">
          <w:rPr>
            <w:rStyle w:val="Hyperlink"/>
          </w:rPr>
          <w:t xml:space="preserve">3-9 </w:t>
        </w:r>
        <w:r w:rsidR="00D57AA1">
          <w:rPr>
            <w:rFonts w:asciiTheme="minorHAnsi" w:eastAsiaTheme="minorEastAsia" w:hAnsiTheme="minorHAnsi" w:cstheme="minorBidi"/>
            <w:szCs w:val="22"/>
          </w:rPr>
          <w:tab/>
        </w:r>
        <w:r w:rsidR="00D57AA1" w:rsidRPr="00A009D6">
          <w:rPr>
            <w:rStyle w:val="Hyperlink"/>
          </w:rPr>
          <w:t>Compliance Requirement: Ohio Rev. Code § 1907.20 - Records required of county courts.</w:t>
        </w:r>
        <w:r w:rsidR="00D57AA1">
          <w:rPr>
            <w:webHidden/>
          </w:rPr>
          <w:tab/>
        </w:r>
        <w:r w:rsidR="00D57AA1">
          <w:rPr>
            <w:webHidden/>
          </w:rPr>
          <w:fldChar w:fldCharType="begin"/>
        </w:r>
        <w:r w:rsidR="00D57AA1">
          <w:rPr>
            <w:webHidden/>
          </w:rPr>
          <w:instrText xml:space="preserve"> PAGEREF _Toc56760216 \h </w:instrText>
        </w:r>
        <w:r w:rsidR="00D57AA1">
          <w:rPr>
            <w:webHidden/>
          </w:rPr>
        </w:r>
        <w:r w:rsidR="00D57AA1">
          <w:rPr>
            <w:webHidden/>
          </w:rPr>
          <w:fldChar w:fldCharType="separate"/>
        </w:r>
        <w:r>
          <w:rPr>
            <w:webHidden/>
          </w:rPr>
          <w:t>23</w:t>
        </w:r>
        <w:r w:rsidR="00D57AA1">
          <w:rPr>
            <w:webHidden/>
          </w:rPr>
          <w:fldChar w:fldCharType="end"/>
        </w:r>
      </w:hyperlink>
    </w:p>
    <w:p w14:paraId="381A72EB" w14:textId="214FFD10" w:rsidR="00D57AA1" w:rsidRDefault="00A36D21">
      <w:pPr>
        <w:pStyle w:val="TOC3"/>
        <w:rPr>
          <w:rFonts w:asciiTheme="minorHAnsi" w:eastAsiaTheme="minorEastAsia" w:hAnsiTheme="minorHAnsi" w:cstheme="minorBidi"/>
          <w:szCs w:val="22"/>
        </w:rPr>
      </w:pPr>
      <w:hyperlink w:anchor="_Toc56760217" w:history="1">
        <w:r w:rsidR="00D57AA1" w:rsidRPr="00A009D6">
          <w:rPr>
            <w:rStyle w:val="Hyperlink"/>
          </w:rPr>
          <w:t xml:space="preserve">3-10 </w:t>
        </w:r>
        <w:r w:rsidR="00D57AA1">
          <w:rPr>
            <w:rFonts w:asciiTheme="minorHAnsi" w:eastAsiaTheme="minorEastAsia" w:hAnsiTheme="minorHAnsi" w:cstheme="minorBidi"/>
            <w:szCs w:val="22"/>
          </w:rPr>
          <w:tab/>
        </w:r>
        <w:r w:rsidR="00D57AA1" w:rsidRPr="00A009D6">
          <w:rPr>
            <w:rStyle w:val="Hyperlink"/>
          </w:rPr>
          <w:t>Compliance Requirement:  Ohio Rev. Code § 1901.31 - Municipal court records.</w:t>
        </w:r>
        <w:r w:rsidR="00D57AA1">
          <w:rPr>
            <w:webHidden/>
          </w:rPr>
          <w:tab/>
        </w:r>
        <w:r w:rsidR="00D57AA1">
          <w:rPr>
            <w:webHidden/>
          </w:rPr>
          <w:fldChar w:fldCharType="begin"/>
        </w:r>
        <w:r w:rsidR="00D57AA1">
          <w:rPr>
            <w:webHidden/>
          </w:rPr>
          <w:instrText xml:space="preserve"> PAGEREF _Toc56760217 \h </w:instrText>
        </w:r>
        <w:r w:rsidR="00D57AA1">
          <w:rPr>
            <w:webHidden/>
          </w:rPr>
        </w:r>
        <w:r w:rsidR="00D57AA1">
          <w:rPr>
            <w:webHidden/>
          </w:rPr>
          <w:fldChar w:fldCharType="separate"/>
        </w:r>
        <w:r>
          <w:rPr>
            <w:webHidden/>
          </w:rPr>
          <w:t>24</w:t>
        </w:r>
        <w:r w:rsidR="00D57AA1">
          <w:rPr>
            <w:webHidden/>
          </w:rPr>
          <w:fldChar w:fldCharType="end"/>
        </w:r>
      </w:hyperlink>
    </w:p>
    <w:p w14:paraId="69B772D1" w14:textId="72914D8E" w:rsidR="00D57AA1" w:rsidRDefault="00A36D21">
      <w:pPr>
        <w:pStyle w:val="TOC3"/>
        <w:rPr>
          <w:rFonts w:asciiTheme="minorHAnsi" w:eastAsiaTheme="minorEastAsia" w:hAnsiTheme="minorHAnsi" w:cstheme="minorBidi"/>
          <w:szCs w:val="22"/>
        </w:rPr>
      </w:pPr>
      <w:hyperlink w:anchor="_Toc56760218" w:history="1">
        <w:r w:rsidR="00D57AA1" w:rsidRPr="00A009D6">
          <w:rPr>
            <w:rStyle w:val="Hyperlink"/>
          </w:rPr>
          <w:t xml:space="preserve">3-11 </w:t>
        </w:r>
        <w:r w:rsidR="00D57AA1">
          <w:rPr>
            <w:rFonts w:asciiTheme="minorHAnsi" w:eastAsiaTheme="minorEastAsia" w:hAnsiTheme="minorHAnsi" w:cstheme="minorBidi"/>
            <w:szCs w:val="22"/>
          </w:rPr>
          <w:tab/>
        </w:r>
        <w:r w:rsidR="00D57AA1" w:rsidRPr="00A009D6">
          <w:rPr>
            <w:rStyle w:val="Hyperlink"/>
          </w:rPr>
          <w:t>Compliance Requirement:  Ohio Rev. Code § 1905.21 - Docket; disposition of receipts.  Ohio Rev. Code § 733.40 - Disposition of fines and other moneys for mayor’s court.</w:t>
        </w:r>
        <w:r w:rsidR="00D57AA1">
          <w:rPr>
            <w:webHidden/>
          </w:rPr>
          <w:tab/>
        </w:r>
        <w:r w:rsidR="00D57AA1">
          <w:rPr>
            <w:webHidden/>
          </w:rPr>
          <w:fldChar w:fldCharType="begin"/>
        </w:r>
        <w:r w:rsidR="00D57AA1">
          <w:rPr>
            <w:webHidden/>
          </w:rPr>
          <w:instrText xml:space="preserve"> PAGEREF _Toc56760218 \h </w:instrText>
        </w:r>
        <w:r w:rsidR="00D57AA1">
          <w:rPr>
            <w:webHidden/>
          </w:rPr>
        </w:r>
        <w:r w:rsidR="00D57AA1">
          <w:rPr>
            <w:webHidden/>
          </w:rPr>
          <w:fldChar w:fldCharType="separate"/>
        </w:r>
        <w:r>
          <w:rPr>
            <w:webHidden/>
          </w:rPr>
          <w:t>25</w:t>
        </w:r>
        <w:r w:rsidR="00D57AA1">
          <w:rPr>
            <w:webHidden/>
          </w:rPr>
          <w:fldChar w:fldCharType="end"/>
        </w:r>
      </w:hyperlink>
    </w:p>
    <w:p w14:paraId="3DBCA6C6" w14:textId="0AEA2532" w:rsidR="00D57AA1" w:rsidRDefault="00A36D21">
      <w:pPr>
        <w:pStyle w:val="TOC3"/>
        <w:rPr>
          <w:rFonts w:asciiTheme="minorHAnsi" w:eastAsiaTheme="minorEastAsia" w:hAnsiTheme="minorHAnsi" w:cstheme="minorBidi"/>
          <w:szCs w:val="22"/>
        </w:rPr>
      </w:pPr>
      <w:hyperlink w:anchor="_Toc56760219" w:history="1">
        <w:r w:rsidR="00D57AA1" w:rsidRPr="00A009D6">
          <w:rPr>
            <w:rStyle w:val="Hyperlink"/>
          </w:rPr>
          <w:t xml:space="preserve">3-12 </w:t>
        </w:r>
        <w:r w:rsidR="00D57AA1">
          <w:rPr>
            <w:rFonts w:asciiTheme="minorHAnsi" w:eastAsiaTheme="minorEastAsia" w:hAnsiTheme="minorHAnsi" w:cstheme="minorBidi"/>
            <w:szCs w:val="22"/>
          </w:rPr>
          <w:tab/>
        </w:r>
        <w:r w:rsidR="00D57AA1" w:rsidRPr="00A009D6">
          <w:rPr>
            <w:rStyle w:val="Hyperlink"/>
          </w:rPr>
          <w:t xml:space="preserve">Compliance Requirements:  </w:t>
        </w:r>
        <w:r w:rsidR="0065163D">
          <w:rPr>
            <w:rStyle w:val="Hyperlink"/>
          </w:rPr>
          <w:t>L</w:t>
        </w:r>
        <w:r w:rsidR="00D57AA1" w:rsidRPr="00A009D6">
          <w:rPr>
            <w:rStyle w:val="Hyperlink"/>
          </w:rPr>
          <w:t xml:space="preserve">ist of courts and related Ohio Revised Code </w:t>
        </w:r>
        <w:r w:rsidR="0065163D">
          <w:rPr>
            <w:rStyle w:val="Hyperlink"/>
          </w:rPr>
          <w:t>statutory provisions</w:t>
        </w:r>
        <w:r w:rsidR="00D57AA1" w:rsidRPr="00A009D6">
          <w:rPr>
            <w:rStyle w:val="Hyperlink"/>
          </w:rPr>
          <w:t xml:space="preserve"> for the collection, custody, and disbursement of fees, fines, costs, and deposits.</w:t>
        </w:r>
        <w:r w:rsidR="00D57AA1">
          <w:rPr>
            <w:webHidden/>
          </w:rPr>
          <w:tab/>
        </w:r>
        <w:r w:rsidR="00D57AA1">
          <w:rPr>
            <w:webHidden/>
          </w:rPr>
          <w:fldChar w:fldCharType="begin"/>
        </w:r>
        <w:r w:rsidR="00D57AA1">
          <w:rPr>
            <w:webHidden/>
          </w:rPr>
          <w:instrText xml:space="preserve"> PAGEREF _Toc56760219 \h </w:instrText>
        </w:r>
        <w:r w:rsidR="00D57AA1">
          <w:rPr>
            <w:webHidden/>
          </w:rPr>
        </w:r>
        <w:r w:rsidR="00D57AA1">
          <w:rPr>
            <w:webHidden/>
          </w:rPr>
          <w:fldChar w:fldCharType="separate"/>
        </w:r>
        <w:r>
          <w:rPr>
            <w:webHidden/>
          </w:rPr>
          <w:t>26</w:t>
        </w:r>
        <w:r w:rsidR="00D57AA1">
          <w:rPr>
            <w:webHidden/>
          </w:rPr>
          <w:fldChar w:fldCharType="end"/>
        </w:r>
      </w:hyperlink>
    </w:p>
    <w:p w14:paraId="0956D486" w14:textId="43AC0DD4" w:rsidR="00D57AA1" w:rsidRDefault="00A36D21">
      <w:pPr>
        <w:pStyle w:val="TOC3"/>
        <w:rPr>
          <w:rFonts w:asciiTheme="minorHAnsi" w:eastAsiaTheme="minorEastAsia" w:hAnsiTheme="minorHAnsi" w:cstheme="minorBidi"/>
          <w:szCs w:val="22"/>
        </w:rPr>
      </w:pPr>
      <w:hyperlink w:anchor="_Toc56760220" w:history="1">
        <w:r w:rsidR="00D57AA1" w:rsidRPr="00A009D6">
          <w:rPr>
            <w:rStyle w:val="Hyperlink"/>
          </w:rPr>
          <w:t xml:space="preserve">3-13 </w:t>
        </w:r>
        <w:r w:rsidR="00D57AA1">
          <w:rPr>
            <w:rFonts w:asciiTheme="minorHAnsi" w:eastAsiaTheme="minorEastAsia" w:hAnsiTheme="minorHAnsi" w:cstheme="minorBidi"/>
            <w:szCs w:val="22"/>
          </w:rPr>
          <w:tab/>
        </w:r>
        <w:r w:rsidR="00D57AA1" w:rsidRPr="00A009D6">
          <w:rPr>
            <w:rStyle w:val="Hyperlink"/>
          </w:rPr>
          <w:t>Compliance Requirement:  Ohio Rev. Code §§ 2743.70 and 2949.091 - Additional costs in criminal cases in all courts to fund reparations payments; additional court costs for state general revenue fund.</w:t>
        </w:r>
        <w:r w:rsidR="00D57AA1">
          <w:rPr>
            <w:webHidden/>
          </w:rPr>
          <w:tab/>
        </w:r>
        <w:r w:rsidR="00D57AA1">
          <w:rPr>
            <w:webHidden/>
          </w:rPr>
          <w:fldChar w:fldCharType="begin"/>
        </w:r>
        <w:r w:rsidR="00D57AA1">
          <w:rPr>
            <w:webHidden/>
          </w:rPr>
          <w:instrText xml:space="preserve"> PAGEREF _Toc56760220 \h </w:instrText>
        </w:r>
        <w:r w:rsidR="00D57AA1">
          <w:rPr>
            <w:webHidden/>
          </w:rPr>
        </w:r>
        <w:r w:rsidR="00D57AA1">
          <w:rPr>
            <w:webHidden/>
          </w:rPr>
          <w:fldChar w:fldCharType="separate"/>
        </w:r>
        <w:r>
          <w:rPr>
            <w:webHidden/>
          </w:rPr>
          <w:t>30</w:t>
        </w:r>
        <w:r w:rsidR="00D57AA1">
          <w:rPr>
            <w:webHidden/>
          </w:rPr>
          <w:fldChar w:fldCharType="end"/>
        </w:r>
      </w:hyperlink>
    </w:p>
    <w:p w14:paraId="6323BCF1" w14:textId="73312698"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21" w:history="1">
        <w:r w:rsidR="00D57AA1" w:rsidRPr="00A009D6">
          <w:rPr>
            <w:rStyle w:val="Hyperlink"/>
            <w:noProof/>
          </w:rPr>
          <w:t>COUNTIES</w:t>
        </w:r>
        <w:r w:rsidR="00D57AA1">
          <w:rPr>
            <w:noProof/>
            <w:webHidden/>
          </w:rPr>
          <w:tab/>
        </w:r>
        <w:r w:rsidR="00D57AA1">
          <w:rPr>
            <w:noProof/>
            <w:webHidden/>
          </w:rPr>
          <w:fldChar w:fldCharType="begin"/>
        </w:r>
        <w:r w:rsidR="00D57AA1">
          <w:rPr>
            <w:noProof/>
            <w:webHidden/>
          </w:rPr>
          <w:instrText xml:space="preserve"> PAGEREF _Toc56760221 \h </w:instrText>
        </w:r>
        <w:r w:rsidR="00D57AA1">
          <w:rPr>
            <w:noProof/>
            <w:webHidden/>
          </w:rPr>
        </w:r>
        <w:r w:rsidR="00D57AA1">
          <w:rPr>
            <w:noProof/>
            <w:webHidden/>
          </w:rPr>
          <w:fldChar w:fldCharType="separate"/>
        </w:r>
        <w:r>
          <w:rPr>
            <w:noProof/>
            <w:webHidden/>
          </w:rPr>
          <w:t>31</w:t>
        </w:r>
        <w:r w:rsidR="00D57AA1">
          <w:rPr>
            <w:noProof/>
            <w:webHidden/>
          </w:rPr>
          <w:fldChar w:fldCharType="end"/>
        </w:r>
      </w:hyperlink>
    </w:p>
    <w:p w14:paraId="6D146674" w14:textId="1E5E0647" w:rsidR="00D57AA1" w:rsidRDefault="00A36D21">
      <w:pPr>
        <w:pStyle w:val="TOC3"/>
        <w:rPr>
          <w:rFonts w:asciiTheme="minorHAnsi" w:eastAsiaTheme="minorEastAsia" w:hAnsiTheme="minorHAnsi" w:cstheme="minorBidi"/>
          <w:szCs w:val="22"/>
        </w:rPr>
      </w:pPr>
      <w:hyperlink w:anchor="_Toc56760222" w:history="1">
        <w:r w:rsidR="00D57AA1" w:rsidRPr="00A009D6">
          <w:rPr>
            <w:rStyle w:val="Hyperlink"/>
          </w:rPr>
          <w:t>3-14 Compliance Requirements:  Ohio Rev. Code §§ 325.071, 325.06, 325.12, 325.18 - Furtherance of Justice (FOJ)</w:t>
        </w:r>
        <w:r w:rsidR="00D57AA1">
          <w:rPr>
            <w:webHidden/>
          </w:rPr>
          <w:tab/>
        </w:r>
        <w:r w:rsidR="00D57AA1">
          <w:rPr>
            <w:webHidden/>
          </w:rPr>
          <w:fldChar w:fldCharType="begin"/>
        </w:r>
        <w:r w:rsidR="00D57AA1">
          <w:rPr>
            <w:webHidden/>
          </w:rPr>
          <w:instrText xml:space="preserve"> PAGEREF _Toc56760222 \h </w:instrText>
        </w:r>
        <w:r w:rsidR="00D57AA1">
          <w:rPr>
            <w:webHidden/>
          </w:rPr>
        </w:r>
        <w:r w:rsidR="00D57AA1">
          <w:rPr>
            <w:webHidden/>
          </w:rPr>
          <w:fldChar w:fldCharType="separate"/>
        </w:r>
        <w:r>
          <w:rPr>
            <w:webHidden/>
          </w:rPr>
          <w:t>31</w:t>
        </w:r>
        <w:r w:rsidR="00D57AA1">
          <w:rPr>
            <w:webHidden/>
          </w:rPr>
          <w:fldChar w:fldCharType="end"/>
        </w:r>
      </w:hyperlink>
    </w:p>
    <w:p w14:paraId="42AB687A" w14:textId="0EDBE6C9"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23" w:history="1">
        <w:r w:rsidR="00D57AA1" w:rsidRPr="00A009D6">
          <w:rPr>
            <w:rStyle w:val="Hyperlink"/>
            <w:noProof/>
          </w:rPr>
          <w:t>TOWNSHIPS</w:t>
        </w:r>
        <w:r w:rsidR="00D57AA1">
          <w:rPr>
            <w:noProof/>
            <w:webHidden/>
          </w:rPr>
          <w:tab/>
        </w:r>
        <w:r w:rsidR="00D57AA1">
          <w:rPr>
            <w:noProof/>
            <w:webHidden/>
          </w:rPr>
          <w:fldChar w:fldCharType="begin"/>
        </w:r>
        <w:r w:rsidR="00D57AA1">
          <w:rPr>
            <w:noProof/>
            <w:webHidden/>
          </w:rPr>
          <w:instrText xml:space="preserve"> PAGEREF _Toc56760223 \h </w:instrText>
        </w:r>
        <w:r w:rsidR="00D57AA1">
          <w:rPr>
            <w:noProof/>
            <w:webHidden/>
          </w:rPr>
        </w:r>
        <w:r w:rsidR="00D57AA1">
          <w:rPr>
            <w:noProof/>
            <w:webHidden/>
          </w:rPr>
          <w:fldChar w:fldCharType="separate"/>
        </w:r>
        <w:r>
          <w:rPr>
            <w:noProof/>
            <w:webHidden/>
          </w:rPr>
          <w:t>34</w:t>
        </w:r>
        <w:r w:rsidR="00D57AA1">
          <w:rPr>
            <w:noProof/>
            <w:webHidden/>
          </w:rPr>
          <w:fldChar w:fldCharType="end"/>
        </w:r>
      </w:hyperlink>
    </w:p>
    <w:p w14:paraId="44D3DF5F" w14:textId="61D27B23" w:rsidR="00D57AA1" w:rsidRDefault="00A36D21">
      <w:pPr>
        <w:pStyle w:val="TOC3"/>
        <w:rPr>
          <w:rFonts w:asciiTheme="minorHAnsi" w:eastAsiaTheme="minorEastAsia" w:hAnsiTheme="minorHAnsi" w:cstheme="minorBidi"/>
          <w:szCs w:val="22"/>
        </w:rPr>
      </w:pPr>
      <w:hyperlink w:anchor="_Toc56760224" w:history="1">
        <w:r w:rsidR="00D57AA1" w:rsidRPr="00A009D6">
          <w:rPr>
            <w:rStyle w:val="Hyperlink"/>
          </w:rPr>
          <w:t xml:space="preserve">3-15 </w:t>
        </w:r>
        <w:r w:rsidR="00D57AA1">
          <w:rPr>
            <w:rFonts w:asciiTheme="minorHAnsi" w:eastAsiaTheme="minorEastAsia" w:hAnsiTheme="minorHAnsi" w:cstheme="minorBidi"/>
            <w:szCs w:val="22"/>
          </w:rPr>
          <w:tab/>
        </w:r>
        <w:r w:rsidR="00D57AA1" w:rsidRPr="00A009D6">
          <w:rPr>
            <w:rStyle w:val="Hyperlink"/>
          </w:rPr>
          <w:t xml:space="preserve">Compliance Requirements:  Ohio Rev. Code </w:t>
        </w:r>
        <w:r w:rsidR="0065163D" w:rsidRPr="0065163D">
          <w:rPr>
            <w:szCs w:val="22"/>
          </w:rPr>
          <w:t>§</w:t>
        </w:r>
        <w:r w:rsidR="00D57AA1" w:rsidRPr="00A009D6">
          <w:rPr>
            <w:rStyle w:val="Hyperlink"/>
          </w:rPr>
          <w:t>§ 505.60 and 505.601, AOS Bulletin 2015-002, and 2005 Op. Att’y. Gen. No. 2005-038, 2013-022, 2015-021, 2017-007, and 2017-026 - Reimbursement of insurance premiums</w:t>
        </w:r>
        <w:r w:rsidR="00D57AA1">
          <w:rPr>
            <w:webHidden/>
          </w:rPr>
          <w:tab/>
        </w:r>
        <w:r w:rsidR="00D57AA1">
          <w:rPr>
            <w:webHidden/>
          </w:rPr>
          <w:fldChar w:fldCharType="begin"/>
        </w:r>
        <w:r w:rsidR="00D57AA1">
          <w:rPr>
            <w:webHidden/>
          </w:rPr>
          <w:instrText xml:space="preserve"> PAGEREF _Toc56760224 \h </w:instrText>
        </w:r>
        <w:r w:rsidR="00D57AA1">
          <w:rPr>
            <w:webHidden/>
          </w:rPr>
        </w:r>
        <w:r w:rsidR="00D57AA1">
          <w:rPr>
            <w:webHidden/>
          </w:rPr>
          <w:fldChar w:fldCharType="separate"/>
        </w:r>
        <w:r>
          <w:rPr>
            <w:webHidden/>
          </w:rPr>
          <w:t>34</w:t>
        </w:r>
        <w:r w:rsidR="00D57AA1">
          <w:rPr>
            <w:webHidden/>
          </w:rPr>
          <w:fldChar w:fldCharType="end"/>
        </w:r>
      </w:hyperlink>
    </w:p>
    <w:p w14:paraId="0F2D0B31" w14:textId="13D2FA10" w:rsidR="00D57AA1" w:rsidRDefault="00A36D21">
      <w:pPr>
        <w:pStyle w:val="TOC1"/>
        <w:tabs>
          <w:tab w:val="right" w:leader="dot" w:pos="9350"/>
        </w:tabs>
        <w:rPr>
          <w:rFonts w:asciiTheme="minorHAnsi" w:eastAsiaTheme="minorEastAsia" w:hAnsiTheme="minorHAnsi" w:cstheme="minorBidi"/>
          <w:b w:val="0"/>
          <w:i w:val="0"/>
          <w:caps w:val="0"/>
          <w:noProof/>
          <w:szCs w:val="22"/>
        </w:rPr>
      </w:pPr>
      <w:hyperlink w:anchor="_Toc56760225" w:history="1">
        <w:r w:rsidR="00D57AA1" w:rsidRPr="00A009D6">
          <w:rPr>
            <w:rStyle w:val="Hyperlink"/>
            <w:noProof/>
          </w:rPr>
          <w:t>COUNTIES, MUNICIPALITIES &amp; TOWNSHIPS</w:t>
        </w:r>
        <w:r w:rsidR="00D57AA1">
          <w:rPr>
            <w:noProof/>
            <w:webHidden/>
          </w:rPr>
          <w:tab/>
        </w:r>
        <w:r w:rsidR="00D57AA1">
          <w:rPr>
            <w:noProof/>
            <w:webHidden/>
          </w:rPr>
          <w:fldChar w:fldCharType="begin"/>
        </w:r>
        <w:r w:rsidR="00D57AA1">
          <w:rPr>
            <w:noProof/>
            <w:webHidden/>
          </w:rPr>
          <w:instrText xml:space="preserve"> PAGEREF _Toc56760225 \h </w:instrText>
        </w:r>
        <w:r w:rsidR="00D57AA1">
          <w:rPr>
            <w:noProof/>
            <w:webHidden/>
          </w:rPr>
        </w:r>
        <w:r w:rsidR="00D57AA1">
          <w:rPr>
            <w:noProof/>
            <w:webHidden/>
          </w:rPr>
          <w:fldChar w:fldCharType="separate"/>
        </w:r>
        <w:r>
          <w:rPr>
            <w:noProof/>
            <w:webHidden/>
          </w:rPr>
          <w:t>38</w:t>
        </w:r>
        <w:r w:rsidR="00D57AA1">
          <w:rPr>
            <w:noProof/>
            <w:webHidden/>
          </w:rPr>
          <w:fldChar w:fldCharType="end"/>
        </w:r>
      </w:hyperlink>
    </w:p>
    <w:p w14:paraId="4E131BCF" w14:textId="0613925F" w:rsidR="00D57AA1" w:rsidRDefault="00A36D21">
      <w:pPr>
        <w:pStyle w:val="TOC3"/>
        <w:rPr>
          <w:rFonts w:asciiTheme="minorHAnsi" w:eastAsiaTheme="minorEastAsia" w:hAnsiTheme="minorHAnsi" w:cstheme="minorBidi"/>
          <w:szCs w:val="22"/>
        </w:rPr>
      </w:pPr>
      <w:hyperlink w:anchor="_Toc56760226" w:history="1">
        <w:r w:rsidR="00D57AA1" w:rsidRPr="00A009D6">
          <w:rPr>
            <w:rStyle w:val="Hyperlink"/>
          </w:rPr>
          <w:t>3-16</w:t>
        </w:r>
        <w:r w:rsidR="00D57AA1">
          <w:rPr>
            <w:rFonts w:asciiTheme="minorHAnsi" w:eastAsiaTheme="minorEastAsia" w:hAnsiTheme="minorHAnsi" w:cstheme="minorBidi"/>
            <w:szCs w:val="22"/>
          </w:rPr>
          <w:tab/>
        </w:r>
        <w:r w:rsidR="00D57AA1" w:rsidRPr="00A009D6">
          <w:rPr>
            <w:rStyle w:val="Hyperlink"/>
          </w:rPr>
          <w:t xml:space="preserve">Compliance Requirements:  Ohio Rev. Code </w:t>
        </w:r>
        <w:r w:rsidR="0065163D" w:rsidRPr="0065163D">
          <w:rPr>
            <w:szCs w:val="22"/>
          </w:rPr>
          <w:t>§</w:t>
        </w:r>
        <w:r w:rsidR="00D57AA1" w:rsidRPr="00A009D6">
          <w:rPr>
            <w:rStyle w:val="Hyperlink"/>
          </w:rPr>
          <w:t xml:space="preserve">§ 305.171 </w:t>
        </w:r>
        <w:r w:rsidR="00585A31">
          <w:rPr>
            <w:rStyle w:val="Hyperlink"/>
          </w:rPr>
          <w:t>and</w:t>
        </w:r>
        <w:r w:rsidR="00D57AA1" w:rsidRPr="00A009D6">
          <w:rPr>
            <w:rStyle w:val="Hyperlink"/>
          </w:rPr>
          <w:t xml:space="preserve"> 505.603 - “Cafeteria Plans”</w:t>
        </w:r>
        <w:r w:rsidR="00D57AA1">
          <w:rPr>
            <w:webHidden/>
          </w:rPr>
          <w:tab/>
        </w:r>
        <w:r w:rsidR="00D57AA1">
          <w:rPr>
            <w:webHidden/>
          </w:rPr>
          <w:fldChar w:fldCharType="begin"/>
        </w:r>
        <w:r w:rsidR="00D57AA1">
          <w:rPr>
            <w:webHidden/>
          </w:rPr>
          <w:instrText xml:space="preserve"> PAGEREF _Toc56760226 \h </w:instrText>
        </w:r>
        <w:r w:rsidR="00D57AA1">
          <w:rPr>
            <w:webHidden/>
          </w:rPr>
        </w:r>
        <w:r w:rsidR="00D57AA1">
          <w:rPr>
            <w:webHidden/>
          </w:rPr>
          <w:fldChar w:fldCharType="separate"/>
        </w:r>
        <w:r>
          <w:rPr>
            <w:webHidden/>
          </w:rPr>
          <w:t>38</w:t>
        </w:r>
        <w:r w:rsidR="00D57AA1">
          <w:rPr>
            <w:webHidden/>
          </w:rPr>
          <w:fldChar w:fldCharType="end"/>
        </w:r>
      </w:hyperlink>
    </w:p>
    <w:p w14:paraId="4E1EB934" w14:textId="0D1DC06E" w:rsidR="00D57AA1" w:rsidRDefault="00A36D21">
      <w:pPr>
        <w:pStyle w:val="TOC3"/>
        <w:rPr>
          <w:rFonts w:asciiTheme="minorHAnsi" w:eastAsiaTheme="minorEastAsia" w:hAnsiTheme="minorHAnsi" w:cstheme="minorBidi"/>
          <w:szCs w:val="22"/>
        </w:rPr>
      </w:pPr>
      <w:hyperlink w:anchor="_Toc56760227" w:history="1">
        <w:r w:rsidR="00D57AA1" w:rsidRPr="00A009D6">
          <w:rPr>
            <w:rStyle w:val="Hyperlink"/>
          </w:rPr>
          <w:t>3-17 Compliance Requirements: Ohio Rev. Code §§ 2925.03(F), 2929.18, 2981.11, 2981.13 and 2981.14 - Law Enforcement Trust (LET) and Drug Law Enforcement Funds</w:t>
        </w:r>
        <w:r w:rsidR="00D57AA1">
          <w:rPr>
            <w:webHidden/>
          </w:rPr>
          <w:tab/>
        </w:r>
        <w:r w:rsidR="00D57AA1">
          <w:rPr>
            <w:webHidden/>
          </w:rPr>
          <w:fldChar w:fldCharType="begin"/>
        </w:r>
        <w:r w:rsidR="00D57AA1">
          <w:rPr>
            <w:webHidden/>
          </w:rPr>
          <w:instrText xml:space="preserve"> PAGEREF _Toc56760227 \h </w:instrText>
        </w:r>
        <w:r w:rsidR="00D57AA1">
          <w:rPr>
            <w:webHidden/>
          </w:rPr>
        </w:r>
        <w:r w:rsidR="00D57AA1">
          <w:rPr>
            <w:webHidden/>
          </w:rPr>
          <w:fldChar w:fldCharType="separate"/>
        </w:r>
        <w:r>
          <w:rPr>
            <w:webHidden/>
          </w:rPr>
          <w:t>41</w:t>
        </w:r>
        <w:r w:rsidR="00D57AA1">
          <w:rPr>
            <w:webHidden/>
          </w:rPr>
          <w:fldChar w:fldCharType="end"/>
        </w:r>
      </w:hyperlink>
    </w:p>
    <w:p w14:paraId="0BB3D40A" w14:textId="4507CD4B" w:rsidR="00D57AA1" w:rsidRDefault="00A36D21">
      <w:pPr>
        <w:pStyle w:val="TOC3"/>
        <w:rPr>
          <w:rFonts w:asciiTheme="minorHAnsi" w:eastAsiaTheme="minorEastAsia" w:hAnsiTheme="minorHAnsi" w:cstheme="minorBidi"/>
          <w:szCs w:val="22"/>
        </w:rPr>
      </w:pPr>
      <w:hyperlink w:anchor="_Toc56760228" w:history="1">
        <w:r w:rsidR="00D57AA1" w:rsidRPr="00A009D6">
          <w:rPr>
            <w:rStyle w:val="Hyperlink"/>
          </w:rPr>
          <w:t>3-18 Compliance Requirements:  Ohio Rev. Code §§ 109.57, 109.571, 109.60, and 5122.311 – Submission of information for National Instant Criminal Background Check System (NICS)</w:t>
        </w:r>
        <w:r w:rsidR="00D57AA1">
          <w:rPr>
            <w:webHidden/>
          </w:rPr>
          <w:tab/>
        </w:r>
        <w:r w:rsidR="00D57AA1">
          <w:rPr>
            <w:webHidden/>
          </w:rPr>
          <w:fldChar w:fldCharType="begin"/>
        </w:r>
        <w:r w:rsidR="00D57AA1">
          <w:rPr>
            <w:webHidden/>
          </w:rPr>
          <w:instrText xml:space="preserve"> PAGEREF _Toc56760228 \h </w:instrText>
        </w:r>
        <w:r w:rsidR="00D57AA1">
          <w:rPr>
            <w:webHidden/>
          </w:rPr>
        </w:r>
        <w:r w:rsidR="00D57AA1">
          <w:rPr>
            <w:webHidden/>
          </w:rPr>
          <w:fldChar w:fldCharType="separate"/>
        </w:r>
        <w:r>
          <w:rPr>
            <w:webHidden/>
          </w:rPr>
          <w:t>45</w:t>
        </w:r>
        <w:r w:rsidR="00D57AA1">
          <w:rPr>
            <w:webHidden/>
          </w:rPr>
          <w:fldChar w:fldCharType="end"/>
        </w:r>
      </w:hyperlink>
    </w:p>
    <w:p w14:paraId="1809B4B4" w14:textId="42709DDF" w:rsidR="00C045F1" w:rsidRDefault="00D737EF" w:rsidP="007F6F8E">
      <w:pPr>
        <w:widowControl w:val="0"/>
        <w:tabs>
          <w:tab w:val="left" w:pos="720"/>
          <w:tab w:val="right" w:leader="dot" w:pos="9360"/>
        </w:tabs>
        <w:jc w:val="both"/>
        <w:rPr>
          <w:rFonts w:ascii="Times New Roman" w:hAnsi="Times New Roman"/>
          <w:b/>
          <w:sz w:val="22"/>
          <w:szCs w:val="22"/>
        </w:rPr>
      </w:pPr>
      <w:r>
        <w:rPr>
          <w:rFonts w:ascii="Times New Roman" w:hAnsi="Times New Roman"/>
          <w:b/>
          <w:sz w:val="22"/>
          <w:szCs w:val="22"/>
        </w:rPr>
        <w:fldChar w:fldCharType="end"/>
      </w:r>
    </w:p>
    <w:p w14:paraId="47662A7E" w14:textId="77777777" w:rsidR="00C128B5" w:rsidRDefault="00182659"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8"/>
          <w:footerReference w:type="default" r:id="rId9"/>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14:paraId="3578FA18" w14:textId="1F923449"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1" w:name="_Toc465258696"/>
      <w:bookmarkStart w:id="2" w:name="_Ref31118565"/>
      <w:bookmarkStart w:id="3" w:name="_Toc56760204"/>
      <w:r w:rsidRPr="00CA0E1A">
        <w:rPr>
          <w:rFonts w:ascii="Times New Roman" w:hAnsi="Times New Roman"/>
          <w:i/>
          <w:color w:val="auto"/>
          <w:sz w:val="22"/>
          <w:szCs w:val="22"/>
        </w:rPr>
        <w:lastRenderedPageBreak/>
        <w:t>GENERAL</w:t>
      </w:r>
      <w:bookmarkEnd w:id="1"/>
      <w:bookmarkEnd w:id="2"/>
      <w:bookmarkEnd w:id="3"/>
    </w:p>
    <w:p w14:paraId="7D1F27C8" w14:textId="2072717C" w:rsidR="00AE2B35" w:rsidRDefault="00AE2B35" w:rsidP="00AE2B35">
      <w:pPr>
        <w:jc w:val="both"/>
        <w:rPr>
          <w:rFonts w:ascii="Times New Roman" w:hAnsi="Times New Roman"/>
          <w:b/>
          <w:sz w:val="22"/>
          <w:szCs w:val="22"/>
        </w:rPr>
      </w:pPr>
    </w:p>
    <w:p w14:paraId="663DA5D1" w14:textId="0FDF7A86" w:rsidR="002D7C62" w:rsidRDefault="002D7C62" w:rsidP="00AE2B35">
      <w:pPr>
        <w:jc w:val="both"/>
        <w:rPr>
          <w:rFonts w:ascii="Times New Roman" w:hAnsi="Times New Roman"/>
          <w:b/>
          <w:sz w:val="22"/>
          <w:szCs w:val="22"/>
        </w:rPr>
      </w:pPr>
      <w:r w:rsidRPr="009012A3">
        <w:rPr>
          <w:b/>
          <w:noProof/>
          <w:sz w:val="22"/>
          <w:szCs w:val="22"/>
        </w:rPr>
        <mc:AlternateContent>
          <mc:Choice Requires="wps">
            <w:drawing>
              <wp:anchor distT="45720" distB="45720" distL="114300" distR="114300" simplePos="0" relativeHeight="251665408" behindDoc="0" locked="0" layoutInCell="1" allowOverlap="1" wp14:anchorId="5B026D74" wp14:editId="1CA45E8E">
                <wp:simplePos x="0" y="0"/>
                <wp:positionH relativeFrom="margin">
                  <wp:align>left</wp:align>
                </wp:positionH>
                <wp:positionV relativeFrom="paragraph">
                  <wp:posOffset>6641</wp:posOffset>
                </wp:positionV>
                <wp:extent cx="1918335" cy="1404620"/>
                <wp:effectExtent l="0" t="0" r="2476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075EB6E3" w14:textId="77777777" w:rsidR="006C6DDE" w:rsidRPr="002F08F8" w:rsidRDefault="006C6DDE" w:rsidP="002D7C62">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579AD50B" w14:textId="77777777" w:rsidR="006C6DDE" w:rsidRPr="009C0856" w:rsidRDefault="006C6DDE" w:rsidP="002D7C62">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69EBDD46" w14:textId="77777777" w:rsidR="006C6DDE" w:rsidRPr="009C0856" w:rsidRDefault="006C6DDE" w:rsidP="002D7C62">
                            <w:pPr>
                              <w:rPr>
                                <w:rFonts w:ascii="Times New Roman" w:eastAsiaTheme="minorHAnsi" w:hAnsi="Times New Roman"/>
                                <w:b/>
                                <w:bCs/>
                                <w:sz w:val="22"/>
                                <w:szCs w:val="22"/>
                                <w:u w:val="double"/>
                              </w:rPr>
                            </w:pPr>
                          </w:p>
                          <w:p w14:paraId="1894B986" w14:textId="77777777" w:rsidR="006C6DDE" w:rsidRPr="003C36EC" w:rsidRDefault="006C6DDE" w:rsidP="002D7C62">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1C9DFD28" w14:textId="77777777" w:rsidR="006C6DDE" w:rsidRPr="003C36EC" w:rsidRDefault="006C6DDE" w:rsidP="002D7C62">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26D74" id="_x0000_s1027" type="#_x0000_t202" style="position:absolute;left:0;text-align:left;margin-left:0;margin-top:.5pt;width:151.0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">
                <v:textbox style="mso-fit-shape-to-text:t">
                  <w:txbxContent>
                    <w:p w14:paraId="075EB6E3" w14:textId="77777777" w:rsidR="006C6DDE" w:rsidRPr="002F08F8" w:rsidRDefault="006C6DDE" w:rsidP="002D7C62">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w:t>
                      </w:r>
                      <w:proofErr w:type="spellStart"/>
                      <w:r w:rsidRPr="002F08F8">
                        <w:rPr>
                          <w:rFonts w:ascii="Times New Roman" w:eastAsiaTheme="minorHAnsi" w:hAnsi="Times New Roman"/>
                          <w:b/>
                          <w:bCs/>
                          <w:sz w:val="22"/>
                          <w:szCs w:val="22"/>
                          <w:u w:val="double"/>
                        </w:rPr>
                        <w:t>HB</w:t>
                      </w:r>
                      <w:proofErr w:type="spellEnd"/>
                      <w:r w:rsidRPr="002F08F8">
                        <w:rPr>
                          <w:rFonts w:ascii="Times New Roman" w:eastAsiaTheme="minorHAnsi" w:hAnsi="Times New Roman"/>
                          <w:b/>
                          <w:bCs/>
                          <w:sz w:val="22"/>
                          <w:szCs w:val="22"/>
                          <w:u w:val="double"/>
                        </w:rPr>
                        <w:t xml:space="preserve"> 481, 133 GA</w:t>
                      </w:r>
                    </w:p>
                    <w:p w14:paraId="579AD50B" w14:textId="77777777" w:rsidR="006C6DDE" w:rsidRPr="009C0856" w:rsidRDefault="006C6DDE" w:rsidP="002D7C62">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69EBDD46" w14:textId="77777777" w:rsidR="006C6DDE" w:rsidRPr="009C0856" w:rsidRDefault="006C6DDE" w:rsidP="002D7C62">
                      <w:pPr>
                        <w:rPr>
                          <w:rFonts w:ascii="Times New Roman" w:eastAsiaTheme="minorHAnsi" w:hAnsi="Times New Roman"/>
                          <w:b/>
                          <w:bCs/>
                          <w:sz w:val="22"/>
                          <w:szCs w:val="22"/>
                          <w:u w:val="double"/>
                        </w:rPr>
                      </w:pPr>
                    </w:p>
                    <w:p w14:paraId="1894B986" w14:textId="77777777" w:rsidR="006C6DDE" w:rsidRPr="003C36EC" w:rsidRDefault="006C6DDE" w:rsidP="002D7C62">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w:t>
                      </w:r>
                      <w:proofErr w:type="spellStart"/>
                      <w:r w:rsidRPr="009C0856">
                        <w:rPr>
                          <w:rFonts w:ascii="Times New Roman" w:eastAsiaTheme="minorHAnsi" w:hAnsi="Times New Roman"/>
                          <w:b/>
                          <w:bCs/>
                          <w:sz w:val="22"/>
                          <w:szCs w:val="22"/>
                          <w:u w:val="double"/>
                        </w:rPr>
                        <w:t>HB</w:t>
                      </w:r>
                      <w:proofErr w:type="spellEnd"/>
                      <w:r w:rsidRPr="009C0856">
                        <w:rPr>
                          <w:rFonts w:ascii="Times New Roman" w:eastAsiaTheme="minorHAnsi" w:hAnsi="Times New Roman"/>
                          <w:b/>
                          <w:bCs/>
                          <w:sz w:val="22"/>
                          <w:szCs w:val="22"/>
                          <w:u w:val="double"/>
                        </w:rPr>
                        <w:t xml:space="preserve"> 614, 133</w:t>
                      </w:r>
                      <w:r w:rsidRPr="003C36EC">
                        <w:rPr>
                          <w:rFonts w:ascii="Times New Roman" w:eastAsiaTheme="minorHAnsi" w:hAnsi="Times New Roman"/>
                          <w:b/>
                          <w:bCs/>
                          <w:sz w:val="22"/>
                          <w:szCs w:val="22"/>
                          <w:u w:val="double"/>
                        </w:rPr>
                        <w:t xml:space="preserve"> GA</w:t>
                      </w:r>
                    </w:p>
                    <w:p w14:paraId="1C9DFD28" w14:textId="77777777" w:rsidR="006C6DDE" w:rsidRPr="003C36EC" w:rsidRDefault="006C6DDE" w:rsidP="002D7C62">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7461D9B9" w14:textId="3533DBB3" w:rsidR="002D7C62" w:rsidRDefault="002D7C62" w:rsidP="00AE2B35">
      <w:pPr>
        <w:jc w:val="both"/>
        <w:rPr>
          <w:rFonts w:ascii="Times New Roman" w:hAnsi="Times New Roman"/>
          <w:b/>
          <w:sz w:val="22"/>
          <w:szCs w:val="22"/>
        </w:rPr>
      </w:pPr>
    </w:p>
    <w:p w14:paraId="436AC7B7" w14:textId="0832CE79" w:rsidR="002D7C62" w:rsidRDefault="002D7C62" w:rsidP="00AE2B35">
      <w:pPr>
        <w:jc w:val="both"/>
        <w:rPr>
          <w:rFonts w:ascii="Times New Roman" w:hAnsi="Times New Roman"/>
          <w:b/>
          <w:sz w:val="22"/>
          <w:szCs w:val="22"/>
        </w:rPr>
      </w:pPr>
    </w:p>
    <w:p w14:paraId="2027B40D" w14:textId="0891D716" w:rsidR="002D7C62" w:rsidRDefault="002D7C62" w:rsidP="00AE2B35">
      <w:pPr>
        <w:jc w:val="both"/>
        <w:rPr>
          <w:rFonts w:ascii="Times New Roman" w:hAnsi="Times New Roman"/>
          <w:b/>
          <w:sz w:val="22"/>
          <w:szCs w:val="22"/>
        </w:rPr>
      </w:pPr>
    </w:p>
    <w:p w14:paraId="5DF52B8D" w14:textId="2108BD59" w:rsidR="002D7C62" w:rsidRDefault="002D7C62" w:rsidP="00AE2B35">
      <w:pPr>
        <w:jc w:val="both"/>
        <w:rPr>
          <w:rFonts w:ascii="Times New Roman" w:hAnsi="Times New Roman"/>
          <w:b/>
          <w:sz w:val="22"/>
          <w:szCs w:val="22"/>
        </w:rPr>
      </w:pPr>
    </w:p>
    <w:p w14:paraId="6754D473" w14:textId="75F81FF9" w:rsidR="002D7C62" w:rsidRDefault="002D7C62" w:rsidP="00AE2B35">
      <w:pPr>
        <w:jc w:val="both"/>
        <w:rPr>
          <w:rFonts w:ascii="Times New Roman" w:hAnsi="Times New Roman"/>
          <w:b/>
          <w:sz w:val="22"/>
          <w:szCs w:val="22"/>
        </w:rPr>
      </w:pPr>
    </w:p>
    <w:p w14:paraId="4AEF90D0" w14:textId="77777777" w:rsidR="002D7C62" w:rsidRPr="00D604F7" w:rsidRDefault="002D7C62" w:rsidP="00AE2B35">
      <w:pPr>
        <w:jc w:val="both"/>
        <w:rPr>
          <w:rFonts w:ascii="Times New Roman" w:hAnsi="Times New Roman"/>
          <w:b/>
          <w:sz w:val="22"/>
          <w:szCs w:val="22"/>
        </w:rPr>
      </w:pPr>
    </w:p>
    <w:p w14:paraId="2F462549" w14:textId="3E279975" w:rsidR="006E6023" w:rsidRPr="00CA0E1A" w:rsidRDefault="00505E29" w:rsidP="00723519">
      <w:pPr>
        <w:pStyle w:val="Heading3"/>
        <w:tabs>
          <w:tab w:val="left" w:pos="360"/>
        </w:tabs>
        <w:spacing w:before="0"/>
        <w:rPr>
          <w:rFonts w:ascii="Times New Roman" w:hAnsi="Times New Roman"/>
          <w:color w:val="auto"/>
          <w:sz w:val="22"/>
          <w:szCs w:val="22"/>
        </w:rPr>
      </w:pPr>
      <w:bookmarkStart w:id="4" w:name="_Toc465258697"/>
      <w:bookmarkStart w:id="5" w:name="_Toc56760205"/>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4"/>
      <w:bookmarkEnd w:id="5"/>
    </w:p>
    <w:p w14:paraId="31111E4A" w14:textId="77777777" w:rsidR="006E6023" w:rsidRPr="00D604F7" w:rsidRDefault="006E6023" w:rsidP="006E6023">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11320238" w14:textId="77777777"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w:t>
      </w:r>
      <w:proofErr w:type="gramStart"/>
      <w:r w:rsidRPr="001071DE">
        <w:rPr>
          <w:rFonts w:ascii="Times New Roman" w:hAnsi="Times New Roman"/>
          <w:sz w:val="22"/>
          <w:szCs w:val="22"/>
        </w:rPr>
        <w:t>carriers</w:t>
      </w:r>
      <w:proofErr w:type="gramEnd"/>
      <w:r w:rsidRPr="001071DE">
        <w:rPr>
          <w:rFonts w:ascii="Times New Roman" w:hAnsi="Times New Roman"/>
          <w:sz w:val="22"/>
          <w:szCs w:val="22"/>
        </w:rPr>
        <w:t xml:space="preserve">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468BDC76" w14:textId="77777777" w:rsidR="006E6023" w:rsidRPr="001071DE" w:rsidRDefault="006E6023"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6058EEEB"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When testing cash collections, document the date collected vs. the date deposited to the CFO or the </w:t>
      </w:r>
      <w:r w:rsidRPr="00D604F7">
        <w:rPr>
          <w:rFonts w:ascii="Times New Roman" w:hAnsi="Times New Roman"/>
          <w:sz w:val="22"/>
          <w:szCs w:val="22"/>
        </w:rPr>
        <w:lastRenderedPageBreak/>
        <w:t>date the “collector” deposited to a designated depository.</w:t>
      </w:r>
    </w:p>
    <w:p w14:paraId="4ED288B5" w14:textId="6CB4CC18" w:rsidR="00C32472" w:rsidRDefault="00C32472" w:rsidP="00F80BF3">
      <w:pPr>
        <w:widowControl w:val="0"/>
        <w:ind w:left="360" w:hanging="360"/>
        <w:jc w:val="both"/>
        <w:rPr>
          <w:rFonts w:ascii="Times New Roman" w:hAnsi="Times New Roman"/>
          <w:sz w:val="22"/>
          <w:szCs w:val="22"/>
        </w:rPr>
      </w:pPr>
    </w:p>
    <w:p w14:paraId="18CBA422" w14:textId="04D04D50" w:rsidR="00C32472" w:rsidRPr="000556E6" w:rsidRDefault="00C32472" w:rsidP="000556E6">
      <w:pPr>
        <w:autoSpaceDE w:val="0"/>
        <w:autoSpaceDN w:val="0"/>
        <w:adjustRightInd w:val="0"/>
        <w:ind w:left="360"/>
        <w:rPr>
          <w:rStyle w:val="Hyperlink"/>
          <w:rFonts w:ascii="Times New Roman" w:hAnsi="Times New Roman"/>
          <w:b/>
          <w:sz w:val="22"/>
          <w:szCs w:val="22"/>
        </w:rPr>
      </w:pPr>
      <w:r w:rsidRPr="00B03810">
        <w:rPr>
          <w:rFonts w:ascii="Times New Roman" w:hAnsi="Times New Roman"/>
          <w:b/>
          <w:color w:val="FF0000"/>
          <w:sz w:val="22"/>
          <w:szCs w:val="22"/>
          <w:u w:val="double"/>
        </w:rPr>
        <w:t xml:space="preserve">When testing, consider </w:t>
      </w:r>
      <w:r w:rsidR="000853C8" w:rsidRPr="00B03810">
        <w:rPr>
          <w:rFonts w:ascii="Times New Roman" w:hAnsi="Times New Roman"/>
          <w:b/>
          <w:color w:val="FF0000"/>
          <w:sz w:val="22"/>
          <w:szCs w:val="22"/>
          <w:u w:val="double"/>
        </w:rPr>
        <w:t xml:space="preserve">any </w:t>
      </w:r>
      <w:r w:rsidR="003C7B34" w:rsidRPr="00B03810">
        <w:rPr>
          <w:rFonts w:ascii="Times New Roman" w:hAnsi="Times New Roman"/>
          <w:b/>
          <w:color w:val="FF0000"/>
          <w:sz w:val="22"/>
          <w:szCs w:val="22"/>
          <w:u w:val="double"/>
        </w:rPr>
        <w:t xml:space="preserve">related </w:t>
      </w:r>
      <w:r w:rsidR="000556E6">
        <w:rPr>
          <w:rFonts w:ascii="Times New Roman" w:hAnsi="Times New Roman"/>
          <w:b/>
          <w:color w:val="FF0000"/>
          <w:sz w:val="22"/>
          <w:szCs w:val="22"/>
          <w:u w:val="double"/>
        </w:rPr>
        <w:t xml:space="preserve">General Auditor of State </w:t>
      </w:r>
      <w:r w:rsidR="003C7B34" w:rsidRPr="00B03810">
        <w:rPr>
          <w:rFonts w:ascii="Times New Roman" w:hAnsi="Times New Roman"/>
          <w:b/>
          <w:color w:val="FF0000"/>
          <w:sz w:val="22"/>
          <w:szCs w:val="22"/>
          <w:u w:val="double"/>
        </w:rPr>
        <w:t>FAQ</w:t>
      </w:r>
      <w:r w:rsidR="000853C8" w:rsidRPr="00B03810">
        <w:rPr>
          <w:rFonts w:ascii="Times New Roman" w:hAnsi="Times New Roman"/>
          <w:b/>
          <w:color w:val="FF0000"/>
          <w:sz w:val="22"/>
          <w:szCs w:val="22"/>
          <w:u w:val="double"/>
        </w:rPr>
        <w:t>s</w:t>
      </w:r>
      <w:r w:rsidR="003C7B34" w:rsidRPr="00B03810">
        <w:rPr>
          <w:rFonts w:ascii="Times New Roman" w:hAnsi="Times New Roman"/>
          <w:b/>
          <w:color w:val="FF0000"/>
          <w:sz w:val="22"/>
          <w:szCs w:val="22"/>
          <w:u w:val="double"/>
        </w:rPr>
        <w:t xml:space="preserve"> listed</w:t>
      </w:r>
      <w:r w:rsidRPr="00B03810">
        <w:rPr>
          <w:rFonts w:ascii="Times New Roman" w:hAnsi="Times New Roman"/>
          <w:b/>
          <w:color w:val="FF0000"/>
          <w:sz w:val="22"/>
          <w:szCs w:val="22"/>
          <w:u w:val="double"/>
        </w:rPr>
        <w:t xml:space="preserve"> here</w:t>
      </w:r>
      <w:r w:rsidRPr="006F051B">
        <w:rPr>
          <w:rFonts w:ascii="Times New Roman" w:hAnsi="Times New Roman"/>
          <w:b/>
          <w:color w:val="FF0000"/>
          <w:sz w:val="22"/>
          <w:szCs w:val="22"/>
          <w:u w:val="double"/>
        </w:rPr>
        <w:t xml:space="preserve"> -</w:t>
      </w:r>
      <w:r w:rsidR="000556E6">
        <w:rPr>
          <w:rFonts w:ascii="Times New Roman" w:hAnsi="Times New Roman"/>
          <w:b/>
          <w:color w:val="FF0000"/>
          <w:sz w:val="22"/>
          <w:szCs w:val="22"/>
          <w:u w:val="double"/>
        </w:rPr>
        <w:t xml:space="preserve"> </w:t>
      </w:r>
      <w:r w:rsidR="000556E6">
        <w:rPr>
          <w:rFonts w:ascii="Times New Roman" w:hAnsi="Times New Roman"/>
          <w:b/>
          <w:color w:val="FF0000"/>
          <w:sz w:val="22"/>
          <w:szCs w:val="22"/>
          <w:u w:val="double"/>
        </w:rPr>
        <w:fldChar w:fldCharType="begin"/>
      </w:r>
      <w:r w:rsidR="000556E6">
        <w:rPr>
          <w:rFonts w:ascii="Times New Roman" w:hAnsi="Times New Roman"/>
          <w:b/>
          <w:color w:val="FF0000"/>
          <w:sz w:val="22"/>
          <w:szCs w:val="22"/>
          <w:u w:val="double"/>
        </w:rPr>
        <w:instrText xml:space="preserve"> HYPERLINK "http://www.ohioauditor.gov/resources/COVID19_assistance.html" </w:instrText>
      </w:r>
      <w:r w:rsidR="000556E6">
        <w:rPr>
          <w:rFonts w:ascii="Times New Roman" w:hAnsi="Times New Roman"/>
          <w:b/>
          <w:color w:val="FF0000"/>
          <w:sz w:val="22"/>
          <w:szCs w:val="22"/>
          <w:u w:val="double"/>
        </w:rPr>
        <w:fldChar w:fldCharType="separate"/>
      </w:r>
      <w:r w:rsidR="000556E6" w:rsidRPr="000556E6">
        <w:rPr>
          <w:rStyle w:val="Hyperlink"/>
          <w:rFonts w:ascii="Times New Roman" w:hAnsi="Times New Roman"/>
          <w:b/>
          <w:sz w:val="22"/>
          <w:szCs w:val="22"/>
        </w:rPr>
        <w:t>http://www.ohioauditor.gov/resources/COVID19_assistance.html</w:t>
      </w:r>
    </w:p>
    <w:p w14:paraId="5F390D95" w14:textId="1E79FD97" w:rsidR="006E6023" w:rsidRPr="000556E6" w:rsidRDefault="006E6023" w:rsidP="000556E6">
      <w:pPr>
        <w:widowControl w:val="0"/>
        <w:ind w:left="360"/>
        <w:jc w:val="both"/>
        <w:rPr>
          <w:rStyle w:val="Hyperlink"/>
          <w:rFonts w:ascii="Times New Roman" w:hAnsi="Times New Roman"/>
          <w:sz w:val="22"/>
          <w:szCs w:val="22"/>
        </w:rPr>
      </w:pPr>
    </w:p>
    <w:p w14:paraId="2ACAF428" w14:textId="0931D444" w:rsidR="006E6023" w:rsidRDefault="000556E6" w:rsidP="00F80BF3">
      <w:pPr>
        <w:widowControl w:val="0"/>
        <w:ind w:left="360" w:hanging="360"/>
        <w:jc w:val="both"/>
        <w:rPr>
          <w:rFonts w:ascii="Times New Roman" w:hAnsi="Times New Roman"/>
          <w:sz w:val="22"/>
          <w:szCs w:val="22"/>
        </w:rPr>
      </w:pPr>
      <w:r>
        <w:rPr>
          <w:rFonts w:ascii="Times New Roman" w:hAnsi="Times New Roman"/>
          <w:b/>
          <w:color w:val="FF0000"/>
          <w:sz w:val="22"/>
          <w:szCs w:val="22"/>
          <w:u w:val="double"/>
        </w:rPr>
        <w:fldChar w:fldCharType="end"/>
      </w:r>
      <w:r w:rsidR="006E6023" w:rsidRPr="00D604F7">
        <w:rPr>
          <w:rFonts w:ascii="Times New Roman" w:hAnsi="Times New Roman"/>
          <w:sz w:val="22"/>
          <w:szCs w:val="22"/>
        </w:rPr>
        <w:t>3.</w:t>
      </w:r>
      <w:r w:rsidR="006E6023"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006E6023"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17AC0E0C" w14:textId="6FDD1F1A" w:rsidR="002601CE" w:rsidRPr="008B59F5" w:rsidRDefault="00505E29" w:rsidP="002601CE">
      <w:pPr>
        <w:pStyle w:val="Heading3"/>
        <w:spacing w:before="0"/>
        <w:jc w:val="both"/>
        <w:rPr>
          <w:rFonts w:ascii="Times New Roman" w:hAnsi="Times New Roman"/>
          <w:color w:val="auto"/>
          <w:sz w:val="22"/>
          <w:szCs w:val="22"/>
        </w:rPr>
      </w:pPr>
      <w:bookmarkStart w:id="6" w:name="_Toc465258698"/>
      <w:bookmarkStart w:id="7" w:name="_Toc56760206"/>
      <w:r w:rsidRPr="008B59F5">
        <w:rPr>
          <w:rFonts w:ascii="Times New Roman" w:hAnsi="Times New Roman"/>
          <w:color w:val="auto"/>
          <w:sz w:val="22"/>
          <w:szCs w:val="22"/>
        </w:rPr>
        <w:lastRenderedPageBreak/>
        <w:t>3-2</w:t>
      </w:r>
      <w:bookmarkEnd w:id="6"/>
      <w:bookmarkEnd w:id="7"/>
    </w:p>
    <w:p w14:paraId="239F5551" w14:textId="77777777" w:rsidR="0043258F" w:rsidRPr="008B59F5" w:rsidRDefault="0043258F">
      <w:pPr>
        <w:spacing w:after="200" w:line="276" w:lineRule="auto"/>
        <w:rPr>
          <w:rFonts w:ascii="Times New Roman" w:hAnsi="Times New Roman"/>
          <w:sz w:val="22"/>
          <w:szCs w:val="22"/>
        </w:rPr>
      </w:pPr>
    </w:p>
    <w:p w14:paraId="11D14FD5" w14:textId="0539F8CF" w:rsidR="007447D5" w:rsidRDefault="0043258F" w:rsidP="0043258F">
      <w:pPr>
        <w:spacing w:after="200" w:line="276" w:lineRule="auto"/>
        <w:jc w:val="center"/>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Pr>
          <w:rFonts w:ascii="Times New Roman" w:hAnsi="Times New Roman"/>
          <w:b/>
          <w:sz w:val="22"/>
          <w:szCs w:val="22"/>
        </w:rPr>
        <w:t>This section intentionally left blank.</w:t>
      </w:r>
      <w:r w:rsidR="00AA70E4" w:rsidRPr="008B59F5">
        <w:rPr>
          <w:rFonts w:ascii="Times New Roman" w:hAnsi="Times New Roman"/>
          <w:sz w:val="22"/>
          <w:szCs w:val="22"/>
        </w:rPr>
        <w:br w:type="page"/>
      </w:r>
    </w:p>
    <w:p w14:paraId="25F0517B" w14:textId="0C76A5C7" w:rsidR="006E6023" w:rsidRPr="00AC1AFA" w:rsidRDefault="00703D75" w:rsidP="006E6023">
      <w:pPr>
        <w:widowControl w:val="0"/>
        <w:jc w:val="both"/>
        <w:rPr>
          <w:rFonts w:ascii="Times New Roman" w:hAnsi="Times New Roman"/>
          <w:b/>
          <w:sz w:val="22"/>
          <w:szCs w:val="22"/>
        </w:rPr>
      </w:pPr>
      <w:r w:rsidRPr="000D6CDB">
        <w:rPr>
          <w:rFonts w:ascii="Times New Roman" w:hAnsi="Times New Roman"/>
          <w:b/>
          <w:noProof/>
          <w:color w:val="FF0000"/>
          <w:sz w:val="22"/>
          <w:szCs w:val="22"/>
        </w:rPr>
        <w:lastRenderedPageBreak/>
        <mc:AlternateContent>
          <mc:Choice Requires="wps">
            <w:drawing>
              <wp:anchor distT="45720" distB="45720" distL="114300" distR="114300" simplePos="0" relativeHeight="251669504" behindDoc="0" locked="0" layoutInCell="1" allowOverlap="1" wp14:anchorId="49B8C17D" wp14:editId="33143484">
                <wp:simplePos x="0" y="0"/>
                <wp:positionH relativeFrom="column">
                  <wp:posOffset>4019550</wp:posOffset>
                </wp:positionH>
                <wp:positionV relativeFrom="paragraph">
                  <wp:posOffset>412115</wp:posOffset>
                </wp:positionV>
                <wp:extent cx="1965960" cy="437515"/>
                <wp:effectExtent l="0" t="0" r="15240"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437515"/>
                        </a:xfrm>
                        <a:prstGeom prst="rect">
                          <a:avLst/>
                        </a:prstGeom>
                        <a:solidFill>
                          <a:srgbClr val="FFFFFF"/>
                        </a:solidFill>
                        <a:ln w="9525">
                          <a:solidFill>
                            <a:srgbClr val="000000"/>
                          </a:solidFill>
                          <a:miter lim="800000"/>
                          <a:headEnd/>
                          <a:tailEnd/>
                        </a:ln>
                      </wps:spPr>
                      <wps:txbx>
                        <w:txbxContent>
                          <w:p w14:paraId="514226E0" w14:textId="4D522112" w:rsidR="006C6DDE" w:rsidRPr="00790BE6" w:rsidRDefault="006C6DDE" w:rsidP="00703D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404</w:t>
                            </w:r>
                            <w:r w:rsidRPr="00790BE6">
                              <w:rPr>
                                <w:rFonts w:ascii="Times New Roman" w:eastAsiaTheme="minorHAnsi" w:hAnsi="Times New Roman"/>
                                <w:b/>
                                <w:bCs/>
                                <w:sz w:val="22"/>
                                <w:szCs w:val="22"/>
                                <w:u w:val="double"/>
                              </w:rPr>
                              <w:t>, 133 GA</w:t>
                            </w:r>
                          </w:p>
                          <w:p w14:paraId="71DA3F0E" w14:textId="128E1B76" w:rsidR="006C6DDE" w:rsidRPr="00790BE6" w:rsidRDefault="006C6DDE" w:rsidP="00703D75">
                            <w:pPr>
                              <w:rPr>
                                <w:rFonts w:ascii="Times New Roman" w:hAnsi="Times New Roman"/>
                                <w:b/>
                                <w:sz w:val="22"/>
                                <w:szCs w:val="22"/>
                                <w:u w:val="double"/>
                              </w:rPr>
                            </w:pPr>
                            <w:r>
                              <w:rPr>
                                <w:rFonts w:ascii="Times New Roman" w:eastAsiaTheme="minorHAnsi" w:hAnsi="Times New Roman"/>
                                <w:b/>
                                <w:bCs/>
                                <w:sz w:val="22"/>
                                <w:szCs w:val="22"/>
                                <w:u w:val="double"/>
                              </w:rPr>
                              <w:t>Effective: November 23</w:t>
                            </w:r>
                            <w:r w:rsidRPr="00790BE6">
                              <w:rPr>
                                <w:rFonts w:ascii="Times New Roman" w:eastAsiaTheme="minorHAnsi" w:hAnsi="Times New Roman"/>
                                <w:b/>
                                <w:bCs/>
                                <w:sz w:val="22"/>
                                <w:szCs w:val="22"/>
                                <w:u w:val="double"/>
                              </w:rPr>
                              <w: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8C17D" id="_x0000_s1028" type="#_x0000_t202" style="position:absolute;left:0;text-align:left;margin-left:316.5pt;margin-top:32.45pt;width:154.8pt;height:34.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">
                <v:textbox>
                  <w:txbxContent>
                    <w:p w14:paraId="514226E0" w14:textId="4D522112" w:rsidR="006C6DDE" w:rsidRPr="00790BE6" w:rsidRDefault="006C6DDE" w:rsidP="00703D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404</w:t>
                      </w:r>
                      <w:r w:rsidRPr="00790BE6">
                        <w:rPr>
                          <w:rFonts w:ascii="Times New Roman" w:eastAsiaTheme="minorHAnsi" w:hAnsi="Times New Roman"/>
                          <w:b/>
                          <w:bCs/>
                          <w:sz w:val="22"/>
                          <w:szCs w:val="22"/>
                          <w:u w:val="double"/>
                        </w:rPr>
                        <w:t>, 133 GA</w:t>
                      </w:r>
                    </w:p>
                    <w:p w14:paraId="71DA3F0E" w14:textId="128E1B76" w:rsidR="006C6DDE" w:rsidRPr="00790BE6" w:rsidRDefault="006C6DDE" w:rsidP="00703D75">
                      <w:pPr>
                        <w:rPr>
                          <w:rFonts w:ascii="Times New Roman" w:hAnsi="Times New Roman"/>
                          <w:b/>
                          <w:sz w:val="22"/>
                          <w:szCs w:val="22"/>
                          <w:u w:val="double"/>
                        </w:rPr>
                      </w:pPr>
                      <w:r>
                        <w:rPr>
                          <w:rFonts w:ascii="Times New Roman" w:eastAsiaTheme="minorHAnsi" w:hAnsi="Times New Roman"/>
                          <w:b/>
                          <w:bCs/>
                          <w:sz w:val="22"/>
                          <w:szCs w:val="22"/>
                          <w:u w:val="double"/>
                        </w:rPr>
                        <w:t>Effective: November 23</w:t>
                      </w:r>
                      <w:r w:rsidRPr="00790BE6">
                        <w:rPr>
                          <w:rFonts w:ascii="Times New Roman" w:eastAsiaTheme="minorHAnsi" w:hAnsi="Times New Roman"/>
                          <w:b/>
                          <w:bCs/>
                          <w:sz w:val="22"/>
                          <w:szCs w:val="22"/>
                          <w:u w:val="double"/>
                        </w:rPr>
                        <w:t>, 2020</w:t>
                      </w:r>
                    </w:p>
                  </w:txbxContent>
                </v:textbox>
                <w10:wrap type="square"/>
              </v:shape>
            </w:pict>
          </mc:Fallback>
        </mc:AlternateContent>
      </w:r>
      <w:r w:rsidRPr="000D6CDB">
        <w:rPr>
          <w:rFonts w:ascii="Times New Roman" w:hAnsi="Times New Roman"/>
          <w:b/>
          <w:noProof/>
          <w:color w:val="FF0000"/>
          <w:sz w:val="22"/>
          <w:szCs w:val="22"/>
        </w:rPr>
        <mc:AlternateContent>
          <mc:Choice Requires="wps">
            <w:drawing>
              <wp:anchor distT="45720" distB="45720" distL="114300" distR="114300" simplePos="0" relativeHeight="251667456" behindDoc="0" locked="0" layoutInCell="1" allowOverlap="1" wp14:anchorId="2566FFA8" wp14:editId="229419EB">
                <wp:simplePos x="0" y="0"/>
                <wp:positionH relativeFrom="column">
                  <wp:posOffset>2026920</wp:posOffset>
                </wp:positionH>
                <wp:positionV relativeFrom="paragraph">
                  <wp:posOffset>408305</wp:posOffset>
                </wp:positionV>
                <wp:extent cx="1901190" cy="437515"/>
                <wp:effectExtent l="0" t="0" r="2286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37515"/>
                        </a:xfrm>
                        <a:prstGeom prst="rect">
                          <a:avLst/>
                        </a:prstGeom>
                        <a:solidFill>
                          <a:srgbClr val="FFFFFF"/>
                        </a:solidFill>
                        <a:ln w="9525">
                          <a:solidFill>
                            <a:srgbClr val="000000"/>
                          </a:solidFill>
                          <a:miter lim="800000"/>
                          <a:headEnd/>
                          <a:tailEnd/>
                        </a:ln>
                      </wps:spPr>
                      <wps:txbx>
                        <w:txbxContent>
                          <w:p w14:paraId="3C92D4AD" w14:textId="2D7CE042" w:rsidR="006C6DDE" w:rsidRPr="00790BE6" w:rsidRDefault="006C6DDE" w:rsidP="00703D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197</w:t>
                            </w:r>
                            <w:r w:rsidRPr="00790BE6">
                              <w:rPr>
                                <w:rFonts w:ascii="Times New Roman" w:eastAsiaTheme="minorHAnsi" w:hAnsi="Times New Roman"/>
                                <w:b/>
                                <w:bCs/>
                                <w:sz w:val="22"/>
                                <w:szCs w:val="22"/>
                                <w:u w:val="double"/>
                              </w:rPr>
                              <w:t>, 133 GA</w:t>
                            </w:r>
                          </w:p>
                          <w:p w14:paraId="67F5D600" w14:textId="53719C15" w:rsidR="006C6DDE" w:rsidRPr="00790BE6" w:rsidRDefault="006C6DDE" w:rsidP="00703D75">
                            <w:pPr>
                              <w:rPr>
                                <w:rFonts w:ascii="Times New Roman" w:hAnsi="Times New Roman"/>
                                <w:b/>
                                <w:sz w:val="22"/>
                                <w:szCs w:val="22"/>
                                <w:u w:val="double"/>
                              </w:rPr>
                            </w:pPr>
                            <w:r>
                              <w:rPr>
                                <w:rFonts w:ascii="Times New Roman" w:eastAsiaTheme="minorHAnsi" w:hAnsi="Times New Roman"/>
                                <w:b/>
                                <w:bCs/>
                                <w:sz w:val="22"/>
                                <w:szCs w:val="22"/>
                                <w:u w:val="double"/>
                              </w:rPr>
                              <w:t>Effective: March 27</w:t>
                            </w:r>
                            <w:r w:rsidRPr="00790BE6">
                              <w:rPr>
                                <w:rFonts w:ascii="Times New Roman" w:eastAsiaTheme="minorHAnsi" w:hAnsi="Times New Roman"/>
                                <w:b/>
                                <w:bCs/>
                                <w:sz w:val="22"/>
                                <w:szCs w:val="22"/>
                                <w:u w:val="double"/>
                              </w:rPr>
                              <w: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6FFA8" id="_x0000_s1029" type="#_x0000_t202" style="position:absolute;left:0;text-align:left;margin-left:159.6pt;margin-top:32.15pt;width:149.7pt;height:3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">
                <v:textbox>
                  <w:txbxContent>
                    <w:p w14:paraId="3C92D4AD" w14:textId="2D7CE042" w:rsidR="006C6DDE" w:rsidRPr="00790BE6" w:rsidRDefault="006C6DDE" w:rsidP="00703D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197</w:t>
                      </w:r>
                      <w:r w:rsidRPr="00790BE6">
                        <w:rPr>
                          <w:rFonts w:ascii="Times New Roman" w:eastAsiaTheme="minorHAnsi" w:hAnsi="Times New Roman"/>
                          <w:b/>
                          <w:bCs/>
                          <w:sz w:val="22"/>
                          <w:szCs w:val="22"/>
                          <w:u w:val="double"/>
                        </w:rPr>
                        <w:t>, 133 GA</w:t>
                      </w:r>
                    </w:p>
                    <w:p w14:paraId="67F5D600" w14:textId="53719C15" w:rsidR="006C6DDE" w:rsidRPr="00790BE6" w:rsidRDefault="006C6DDE" w:rsidP="00703D75">
                      <w:pPr>
                        <w:rPr>
                          <w:rFonts w:ascii="Times New Roman" w:hAnsi="Times New Roman"/>
                          <w:b/>
                          <w:sz w:val="22"/>
                          <w:szCs w:val="22"/>
                          <w:u w:val="double"/>
                        </w:rPr>
                      </w:pPr>
                      <w:r>
                        <w:rPr>
                          <w:rFonts w:ascii="Times New Roman" w:eastAsiaTheme="minorHAnsi" w:hAnsi="Times New Roman"/>
                          <w:b/>
                          <w:bCs/>
                          <w:sz w:val="22"/>
                          <w:szCs w:val="22"/>
                          <w:u w:val="double"/>
                        </w:rPr>
                        <w:t>Effective: March 27</w:t>
                      </w:r>
                      <w:r w:rsidRPr="00790BE6">
                        <w:rPr>
                          <w:rFonts w:ascii="Times New Roman" w:eastAsiaTheme="minorHAnsi" w:hAnsi="Times New Roman"/>
                          <w:b/>
                          <w:bCs/>
                          <w:sz w:val="22"/>
                          <w:szCs w:val="22"/>
                          <w:u w:val="double"/>
                        </w:rPr>
                        <w:t>, 2020</w:t>
                      </w:r>
                    </w:p>
                  </w:txbxContent>
                </v:textbox>
                <w10:wrap type="square"/>
              </v:shape>
            </w:pict>
          </mc:Fallback>
        </mc:AlternateContent>
      </w:r>
      <w:r w:rsidR="006E6023" w:rsidRPr="00F379D8">
        <w:rPr>
          <w:rFonts w:ascii="Times New Roman" w:hAnsi="Times New Roman"/>
          <w:b/>
          <w:color w:val="000000" w:themeColor="text1"/>
          <w:sz w:val="22"/>
          <w:szCs w:val="22"/>
          <w:highlight w:val="yellow"/>
        </w:rPr>
        <w:t>Only test the compliance attributes</w:t>
      </w:r>
      <w:r w:rsidR="000A4A65" w:rsidRPr="00F379D8">
        <w:rPr>
          <w:rFonts w:ascii="Times New Roman" w:hAnsi="Times New Roman"/>
          <w:b/>
          <w:color w:val="000000" w:themeColor="text1"/>
          <w:sz w:val="22"/>
          <w:szCs w:val="22"/>
          <w:highlight w:val="yellow"/>
        </w:rPr>
        <w:t xml:space="preserve"> listed in </w:t>
      </w:r>
      <w:r w:rsidR="00505DFA" w:rsidRPr="00F379D8">
        <w:rPr>
          <w:rFonts w:ascii="Times New Roman" w:hAnsi="Times New Roman"/>
          <w:b/>
          <w:color w:val="000000" w:themeColor="text1"/>
          <w:sz w:val="22"/>
          <w:szCs w:val="22"/>
          <w:highlight w:val="yellow"/>
        </w:rPr>
        <w:t>3-3</w:t>
      </w:r>
      <w:r w:rsidR="006E6023" w:rsidRPr="00F379D8">
        <w:rPr>
          <w:rFonts w:ascii="Times New Roman" w:hAnsi="Times New Roman"/>
          <w:b/>
          <w:color w:val="000000" w:themeColor="text1"/>
          <w:sz w:val="22"/>
          <w:szCs w:val="22"/>
          <w:highlight w:val="yellow"/>
        </w:rPr>
        <w:t xml:space="preserve"> below if one of the officials listed below were selected as part of your sample for payroll testing</w:t>
      </w:r>
      <w:r w:rsidR="006E6023" w:rsidRPr="00AC1AFA">
        <w:rPr>
          <w:rFonts w:ascii="Times New Roman" w:hAnsi="Times New Roman"/>
          <w:b/>
          <w:sz w:val="22"/>
          <w:szCs w:val="22"/>
        </w:rPr>
        <w:t xml:space="preserve">.  </w:t>
      </w:r>
    </w:p>
    <w:p w14:paraId="6C37D3B5" w14:textId="37922A1C" w:rsidR="00703D75" w:rsidRPr="00AC1AFA" w:rsidRDefault="000D6CDB" w:rsidP="000D6CDB">
      <w:pPr>
        <w:widowControl w:val="0"/>
        <w:jc w:val="both"/>
        <w:rPr>
          <w:rFonts w:ascii="Times New Roman" w:hAnsi="Times New Roman"/>
          <w:b/>
          <w:sz w:val="22"/>
          <w:szCs w:val="22"/>
        </w:rPr>
      </w:pPr>
      <w:r w:rsidRPr="00AC1AFA">
        <w:rPr>
          <w:rFonts w:ascii="Times New Roman" w:hAnsi="Times New Roman"/>
          <w:b/>
          <w:noProof/>
          <w:sz w:val="22"/>
          <w:szCs w:val="22"/>
        </w:rPr>
        <mc:AlternateContent>
          <mc:Choice Requires="wps">
            <w:drawing>
              <wp:anchor distT="45720" distB="45720" distL="114300" distR="114300" simplePos="0" relativeHeight="251659264" behindDoc="0" locked="0" layoutInCell="1" allowOverlap="1" wp14:anchorId="51D09D0B" wp14:editId="56661B82">
                <wp:simplePos x="0" y="0"/>
                <wp:positionH relativeFrom="column">
                  <wp:posOffset>-17145</wp:posOffset>
                </wp:positionH>
                <wp:positionV relativeFrom="paragraph">
                  <wp:posOffset>88799</wp:posOffset>
                </wp:positionV>
                <wp:extent cx="1901190" cy="437515"/>
                <wp:effectExtent l="0" t="0" r="228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37515"/>
                        </a:xfrm>
                        <a:prstGeom prst="rect">
                          <a:avLst/>
                        </a:prstGeom>
                        <a:solidFill>
                          <a:srgbClr val="FFFFFF"/>
                        </a:solidFill>
                        <a:ln w="9525">
                          <a:solidFill>
                            <a:srgbClr val="000000"/>
                          </a:solidFill>
                          <a:miter lim="800000"/>
                          <a:headEnd/>
                          <a:tailEnd/>
                        </a:ln>
                      </wps:spPr>
                      <wps:txbx>
                        <w:txbxContent>
                          <w:p w14:paraId="7F3579F9" w14:textId="2E321D22" w:rsidR="006C6DDE" w:rsidRPr="00790BE6" w:rsidRDefault="006C6DDE">
                            <w:pPr>
                              <w:rPr>
                                <w:rFonts w:ascii="Times New Roman" w:eastAsiaTheme="minorHAnsi" w:hAnsi="Times New Roman"/>
                                <w:b/>
                                <w:bCs/>
                                <w:sz w:val="22"/>
                                <w:szCs w:val="22"/>
                                <w:u w:val="double"/>
                              </w:rPr>
                            </w:pPr>
                            <w:r w:rsidRPr="00790BE6">
                              <w:rPr>
                                <w:rFonts w:ascii="Times New Roman" w:eastAsiaTheme="minorHAnsi" w:hAnsi="Times New Roman"/>
                                <w:b/>
                                <w:bCs/>
                                <w:sz w:val="22"/>
                                <w:szCs w:val="22"/>
                                <w:u w:val="double"/>
                              </w:rPr>
                              <w:t>Revised:  HB 164, 133 GA</w:t>
                            </w:r>
                          </w:p>
                          <w:p w14:paraId="31402B03" w14:textId="496031AC" w:rsidR="006C6DDE" w:rsidRPr="00790BE6" w:rsidRDefault="006C6DDE">
                            <w:pPr>
                              <w:rPr>
                                <w:rFonts w:ascii="Times New Roman" w:hAnsi="Times New Roman"/>
                                <w:b/>
                                <w:sz w:val="22"/>
                                <w:szCs w:val="22"/>
                                <w:u w:val="double"/>
                              </w:rPr>
                            </w:pPr>
                            <w:r w:rsidRPr="00790BE6">
                              <w:rPr>
                                <w:rFonts w:ascii="Times New Roman" w:eastAsiaTheme="minorHAnsi" w:hAnsi="Times New Roman"/>
                                <w:b/>
                                <w:bCs/>
                                <w:sz w:val="22"/>
                                <w:szCs w:val="22"/>
                                <w:u w:val="double"/>
                              </w:rPr>
                              <w:t>Effective: June 19,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09D0B" id="_x0000_s1030" type="#_x0000_t202" style="position:absolute;left:0;text-align:left;margin-left:-1.35pt;margin-top:7pt;width:149.7pt;height:3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">
                <v:textbox>
                  <w:txbxContent>
                    <w:p w14:paraId="7F3579F9" w14:textId="2E321D22" w:rsidR="006C6DDE" w:rsidRPr="00790BE6" w:rsidRDefault="006C6DDE">
                      <w:pPr>
                        <w:rPr>
                          <w:rFonts w:ascii="Times New Roman" w:eastAsiaTheme="minorHAnsi" w:hAnsi="Times New Roman"/>
                          <w:b/>
                          <w:bCs/>
                          <w:sz w:val="22"/>
                          <w:szCs w:val="22"/>
                          <w:u w:val="double"/>
                        </w:rPr>
                      </w:pPr>
                      <w:r w:rsidRPr="00790BE6">
                        <w:rPr>
                          <w:rFonts w:ascii="Times New Roman" w:eastAsiaTheme="minorHAnsi" w:hAnsi="Times New Roman"/>
                          <w:b/>
                          <w:bCs/>
                          <w:sz w:val="22"/>
                          <w:szCs w:val="22"/>
                          <w:u w:val="double"/>
                        </w:rPr>
                        <w:t xml:space="preserve">Revised:  </w:t>
                      </w:r>
                      <w:proofErr w:type="spellStart"/>
                      <w:r w:rsidRPr="00790BE6">
                        <w:rPr>
                          <w:rFonts w:ascii="Times New Roman" w:eastAsiaTheme="minorHAnsi" w:hAnsi="Times New Roman"/>
                          <w:b/>
                          <w:bCs/>
                          <w:sz w:val="22"/>
                          <w:szCs w:val="22"/>
                          <w:u w:val="double"/>
                        </w:rPr>
                        <w:t>HB</w:t>
                      </w:r>
                      <w:proofErr w:type="spellEnd"/>
                      <w:r w:rsidRPr="00790BE6">
                        <w:rPr>
                          <w:rFonts w:ascii="Times New Roman" w:eastAsiaTheme="minorHAnsi" w:hAnsi="Times New Roman"/>
                          <w:b/>
                          <w:bCs/>
                          <w:sz w:val="22"/>
                          <w:szCs w:val="22"/>
                          <w:u w:val="double"/>
                        </w:rPr>
                        <w:t xml:space="preserve"> 164, 133 GA</w:t>
                      </w:r>
                    </w:p>
                    <w:p w14:paraId="31402B03" w14:textId="496031AC" w:rsidR="006C6DDE" w:rsidRPr="00790BE6" w:rsidRDefault="006C6DDE">
                      <w:pPr>
                        <w:rPr>
                          <w:rFonts w:ascii="Times New Roman" w:hAnsi="Times New Roman"/>
                          <w:b/>
                          <w:sz w:val="22"/>
                          <w:szCs w:val="22"/>
                          <w:u w:val="double"/>
                        </w:rPr>
                      </w:pPr>
                      <w:r w:rsidRPr="00790BE6">
                        <w:rPr>
                          <w:rFonts w:ascii="Times New Roman" w:eastAsiaTheme="minorHAnsi" w:hAnsi="Times New Roman"/>
                          <w:b/>
                          <w:bCs/>
                          <w:sz w:val="22"/>
                          <w:szCs w:val="22"/>
                          <w:u w:val="double"/>
                        </w:rPr>
                        <w:t>Effective: June 19, 2020</w:t>
                      </w:r>
                    </w:p>
                  </w:txbxContent>
                </v:textbox>
                <w10:wrap type="square"/>
              </v:shape>
            </w:pict>
          </mc:Fallback>
        </mc:AlternateContent>
      </w:r>
      <w:bookmarkStart w:id="8" w:name="_Toc465258699"/>
    </w:p>
    <w:p w14:paraId="3DF86F5F" w14:textId="34C0A3B3" w:rsidR="006E6023" w:rsidRPr="00CA0E1A" w:rsidRDefault="00505DFA" w:rsidP="00723519">
      <w:pPr>
        <w:pStyle w:val="Heading3"/>
        <w:spacing w:before="0"/>
        <w:jc w:val="both"/>
        <w:rPr>
          <w:rFonts w:ascii="Times New Roman" w:hAnsi="Times New Roman"/>
          <w:b w:val="0"/>
          <w:color w:val="auto"/>
          <w:sz w:val="22"/>
          <w:szCs w:val="22"/>
        </w:rPr>
      </w:pPr>
      <w:bookmarkStart w:id="9" w:name="_Toc56760207"/>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 etc</w:t>
      </w:r>
      <w:r w:rsidR="00CA0E1A" w:rsidRPr="00CA0E1A">
        <w:rPr>
          <w:rFonts w:ascii="Times New Roman" w:hAnsi="Times New Roman"/>
          <w:b w:val="0"/>
          <w:color w:val="auto"/>
          <w:sz w:val="22"/>
          <w:szCs w:val="22"/>
        </w:rPr>
        <w:t>.</w:t>
      </w:r>
      <w:bookmarkEnd w:id="8"/>
      <w:bookmarkEnd w:id="9"/>
    </w:p>
    <w:p w14:paraId="7ED55BDC" w14:textId="77777777" w:rsidR="00CA1310" w:rsidRPr="005778C1" w:rsidRDefault="00CA1310" w:rsidP="00723519">
      <w:pPr>
        <w:widowControl w:val="0"/>
        <w:jc w:val="both"/>
        <w:rPr>
          <w:rFonts w:ascii="Times New Roman" w:hAnsi="Times New Roman"/>
          <w:b/>
          <w:sz w:val="22"/>
          <w:szCs w:val="22"/>
        </w:rPr>
      </w:pPr>
    </w:p>
    <w:p w14:paraId="5A320AA5" w14:textId="3D63A1E2"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r w:rsidR="005D2826">
        <w:rPr>
          <w:rFonts w:ascii="Times New Roman" w:hAnsi="Times New Roman"/>
          <w:sz w:val="22"/>
          <w:szCs w:val="22"/>
        </w:rPr>
        <w:t xml:space="preserve">  </w:t>
      </w:r>
      <w:r w:rsidR="005D2826" w:rsidRPr="00F2305B">
        <w:rPr>
          <w:rFonts w:ascii="Times New Roman" w:hAnsi="Times New Roman"/>
          <w:sz w:val="22"/>
          <w:szCs w:val="22"/>
        </w:rPr>
        <w:t>Virtual participation (i.e. tele or web conference) does not constitute attendance for compensation under Ohio Rev. Code § 121.22(C) which indicates board members must “be present in person</w:t>
      </w:r>
      <w:r w:rsidR="00240671" w:rsidRPr="00F2305B">
        <w:rPr>
          <w:rFonts w:ascii="Times New Roman" w:hAnsi="Times New Roman"/>
          <w:sz w:val="22"/>
          <w:szCs w:val="22"/>
        </w:rPr>
        <w:t xml:space="preserve">” </w:t>
      </w:r>
      <w:r w:rsidR="005D2826" w:rsidRPr="00F2305B">
        <w:rPr>
          <w:rFonts w:ascii="Times New Roman" w:hAnsi="Times New Roman"/>
          <w:sz w:val="22"/>
          <w:szCs w:val="22"/>
        </w:rPr>
        <w:t>to be considered present</w:t>
      </w:r>
      <w:r w:rsidR="00703D75" w:rsidRPr="00703D75">
        <w:rPr>
          <w:rFonts w:ascii="Times New Roman" w:hAnsi="Times New Roman"/>
          <w:color w:val="FF0000"/>
          <w:sz w:val="22"/>
          <w:szCs w:val="22"/>
        </w:rPr>
        <w:t xml:space="preserve"> </w:t>
      </w:r>
      <w:r w:rsidR="00703D75" w:rsidRPr="00703D75">
        <w:rPr>
          <w:rFonts w:ascii="Times New Roman" w:hAnsi="Times New Roman"/>
          <w:b/>
          <w:color w:val="FF0000"/>
          <w:sz w:val="22"/>
          <w:szCs w:val="22"/>
          <w:u w:val="double"/>
        </w:rPr>
        <w:t xml:space="preserve">[See footnote </w:t>
      </w:r>
      <w:r w:rsidR="00CF3552" w:rsidRPr="00703D75">
        <w:rPr>
          <w:rStyle w:val="FootnoteReference"/>
          <w:rFonts w:ascii="Times New Roman" w:hAnsi="Times New Roman"/>
          <w:b/>
          <w:color w:val="FF0000"/>
          <w:sz w:val="22"/>
          <w:szCs w:val="22"/>
          <w:u w:val="double"/>
          <w:vertAlign w:val="baseline"/>
        </w:rPr>
        <w:footnoteReference w:id="1"/>
      </w:r>
      <w:r w:rsidR="00703D75" w:rsidRPr="00703D75">
        <w:rPr>
          <w:rFonts w:ascii="Times New Roman" w:hAnsi="Times New Roman"/>
          <w:b/>
          <w:color w:val="FF0000"/>
          <w:sz w:val="22"/>
          <w:szCs w:val="22"/>
          <w:u w:val="double"/>
        </w:rPr>
        <w:t xml:space="preserve"> for exceptions to this rule]</w:t>
      </w:r>
      <w:r w:rsidR="00703D75">
        <w:rPr>
          <w:rFonts w:ascii="Times New Roman" w:hAnsi="Times New Roman"/>
          <w:sz w:val="22"/>
          <w:szCs w:val="22"/>
        </w:rPr>
        <w:t>.</w:t>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15283B63"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3311.19 and 3313.12 - School board compensation and mileage</w:t>
      </w:r>
      <w:r w:rsidR="009C7B94" w:rsidRPr="00F87B8F">
        <w:rPr>
          <w:rFonts w:ascii="Times New Roman" w:hAnsi="Times New Roman"/>
          <w:sz w:val="22"/>
          <w:szCs w:val="22"/>
        </w:rPr>
        <w:t xml:space="preserve"> (amended by </w:t>
      </w:r>
      <w:proofErr w:type="spellStart"/>
      <w:r w:rsidR="009C7B94" w:rsidRPr="00F87B8F">
        <w:rPr>
          <w:rFonts w:ascii="Times New Roman" w:hAnsi="Times New Roman"/>
          <w:sz w:val="22"/>
          <w:szCs w:val="22"/>
        </w:rPr>
        <w:t>H</w:t>
      </w:r>
      <w:r w:rsidR="00040FF3">
        <w:rPr>
          <w:rFonts w:ascii="Times New Roman" w:hAnsi="Times New Roman"/>
          <w:sz w:val="22"/>
          <w:szCs w:val="22"/>
        </w:rPr>
        <w:t>.</w:t>
      </w:r>
      <w:r w:rsidR="009C7B94" w:rsidRPr="00F87B8F">
        <w:rPr>
          <w:rFonts w:ascii="Times New Roman" w:hAnsi="Times New Roman"/>
          <w:sz w:val="22"/>
          <w:szCs w:val="22"/>
        </w:rPr>
        <w:t>B</w:t>
      </w:r>
      <w:proofErr w:type="spellEnd"/>
      <w:r w:rsidR="00040FF3">
        <w:rPr>
          <w:rFonts w:ascii="Times New Roman" w:hAnsi="Times New Roman"/>
          <w:sz w:val="22"/>
          <w:szCs w:val="22"/>
        </w:rPr>
        <w:t>.</w:t>
      </w:r>
      <w:r w:rsidR="009C7B94" w:rsidRPr="00F87B8F">
        <w:rPr>
          <w:rFonts w:ascii="Times New Roman" w:hAnsi="Times New Roman"/>
          <w:sz w:val="22"/>
          <w:szCs w:val="22"/>
        </w:rPr>
        <w:t xml:space="preserve"> 2)</w:t>
      </w:r>
    </w:p>
    <w:p w14:paraId="537BEEFA" w14:textId="77777777" w:rsidR="008F1237" w:rsidRPr="00F87B8F" w:rsidRDefault="008F1237" w:rsidP="008F1237">
      <w:pPr>
        <w:widowControl w:val="0"/>
        <w:jc w:val="both"/>
        <w:rPr>
          <w:rFonts w:ascii="Times New Roman" w:hAnsi="Times New Roman"/>
          <w:sz w:val="22"/>
          <w:szCs w:val="22"/>
        </w:rPr>
      </w:pPr>
      <w:r w:rsidRPr="00F87B8F">
        <w:rPr>
          <w:rFonts w:ascii="Times New Roman" w:hAnsi="Times New Roman"/>
          <w:sz w:val="22"/>
          <w:szCs w:val="22"/>
        </w:rPr>
        <w:t>§ 3313.24 - Compensation of School Treasurer</w:t>
      </w:r>
      <w:bookmarkStart w:id="10" w:name="_Ref442341423"/>
      <w:r w:rsidRPr="00F87B8F">
        <w:rPr>
          <w:rStyle w:val="FootnoteReference"/>
          <w:rFonts w:ascii="Times New Roman" w:hAnsi="Times New Roman"/>
          <w:sz w:val="22"/>
          <w:szCs w:val="22"/>
        </w:rPr>
        <w:footnoteReference w:id="2"/>
      </w:r>
      <w:bookmarkEnd w:id="10"/>
    </w:p>
    <w:p w14:paraId="162A2A93" w14:textId="5A7B91E4"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3314.02(E) - Compensation of School Board</w:t>
      </w:r>
    </w:p>
    <w:p w14:paraId="1026928D" w14:textId="77777777" w:rsidR="0065163D" w:rsidRDefault="000D6CDB" w:rsidP="0065163D">
      <w:pPr>
        <w:widowControl w:val="0"/>
        <w:ind w:left="720"/>
        <w:jc w:val="both"/>
        <w:rPr>
          <w:rFonts w:ascii="Times New Roman" w:hAnsi="Times New Roman"/>
          <w:i/>
          <w:sz w:val="22"/>
          <w:szCs w:val="22"/>
        </w:rPr>
      </w:pPr>
      <w:r w:rsidRPr="00F87B8F">
        <w:rPr>
          <w:rFonts w:ascii="Times New Roman" w:hAnsi="Times New Roman"/>
          <w:i/>
          <w:sz w:val="22"/>
          <w:szCs w:val="22"/>
        </w:rPr>
        <w:t>Note: Start-up</w:t>
      </w:r>
      <w:r w:rsidR="004D7F47" w:rsidRPr="00F87B8F">
        <w:rPr>
          <w:rFonts w:ascii="Times New Roman" w:hAnsi="Times New Roman"/>
          <w:i/>
          <w:sz w:val="22"/>
          <w:szCs w:val="22"/>
        </w:rPr>
        <w:t xml:space="preserve"> </w:t>
      </w:r>
      <w:r w:rsidRPr="00F87B8F">
        <w:rPr>
          <w:rFonts w:ascii="Times New Roman" w:hAnsi="Times New Roman"/>
          <w:i/>
          <w:sz w:val="22"/>
          <w:szCs w:val="22"/>
        </w:rPr>
        <w:t xml:space="preserve">or conversion school governing authorities </w:t>
      </w:r>
      <w:r w:rsidR="00D30820" w:rsidRPr="00F87B8F">
        <w:rPr>
          <w:rFonts w:ascii="Times New Roman" w:hAnsi="Times New Roman"/>
          <w:i/>
          <w:sz w:val="22"/>
          <w:szCs w:val="22"/>
        </w:rPr>
        <w:t xml:space="preserve">may </w:t>
      </w:r>
      <w:r w:rsidRPr="00F87B8F">
        <w:rPr>
          <w:rFonts w:ascii="Times New Roman" w:hAnsi="Times New Roman"/>
          <w:i/>
          <w:sz w:val="22"/>
          <w:szCs w:val="22"/>
        </w:rPr>
        <w:t xml:space="preserve">provide, by resolution, requirements for compensation of their members. The maximum number of governing authorities of </w:t>
      </w:r>
      <w:r w:rsidRPr="00F87B8F">
        <w:rPr>
          <w:rFonts w:ascii="Times New Roman" w:hAnsi="Times New Roman"/>
          <w:i/>
          <w:sz w:val="22"/>
          <w:szCs w:val="22"/>
          <w:u w:val="single"/>
        </w:rPr>
        <w:t>start-up</w:t>
      </w:r>
      <w:r w:rsidR="004D7F47" w:rsidRPr="00F87B8F">
        <w:rPr>
          <w:rStyle w:val="FootnoteReference"/>
          <w:rFonts w:ascii="Times New Roman" w:hAnsi="Times New Roman"/>
          <w:sz w:val="22"/>
          <w:szCs w:val="22"/>
        </w:rPr>
        <w:footnoteReference w:id="3"/>
      </w:r>
      <w:r w:rsidRPr="00F87B8F">
        <w:rPr>
          <w:rFonts w:ascii="Times New Roman" w:hAnsi="Times New Roman"/>
          <w:i/>
          <w:sz w:val="22"/>
          <w:szCs w:val="22"/>
        </w:rPr>
        <w:t xml:space="preserve"> community schools on which a person can serve at the same time is five </w:t>
      </w:r>
      <w:r w:rsidRPr="00F87B8F">
        <w:rPr>
          <w:rFonts w:ascii="Times New Roman" w:hAnsi="Times New Roman"/>
          <w:i/>
          <w:sz w:val="22"/>
          <w:szCs w:val="22"/>
          <w:u w:val="double"/>
        </w:rPr>
        <w:t xml:space="preserve">(unless the person serves in a volunteer capacity </w:t>
      </w:r>
      <w:r w:rsidR="0062604F" w:rsidRPr="00F87B8F">
        <w:rPr>
          <w:rFonts w:ascii="Times New Roman" w:hAnsi="Times New Roman"/>
          <w:i/>
          <w:sz w:val="22"/>
          <w:szCs w:val="22"/>
          <w:u w:val="double"/>
        </w:rPr>
        <w:t xml:space="preserve">on all such boards, </w:t>
      </w:r>
      <w:r w:rsidRPr="00F87B8F">
        <w:rPr>
          <w:rFonts w:ascii="Times New Roman" w:hAnsi="Times New Roman"/>
          <w:i/>
          <w:sz w:val="22"/>
          <w:szCs w:val="22"/>
          <w:u w:val="double"/>
        </w:rPr>
        <w:t xml:space="preserve">with no compensation under this section </w:t>
      </w:r>
      <w:r w:rsidRPr="00F87B8F">
        <w:rPr>
          <w:rFonts w:ascii="Times New Roman" w:hAnsi="Times New Roman"/>
          <w:b/>
          <w:i/>
          <w:sz w:val="22"/>
          <w:szCs w:val="22"/>
          <w:u w:val="double"/>
        </w:rPr>
        <w:t>and</w:t>
      </w:r>
      <w:r w:rsidRPr="00F87B8F">
        <w:rPr>
          <w:rFonts w:ascii="Times New Roman" w:hAnsi="Times New Roman"/>
          <w:i/>
          <w:sz w:val="22"/>
          <w:szCs w:val="22"/>
          <w:u w:val="double"/>
        </w:rPr>
        <w:t xml:space="preserve"> the operator (if the school has one) is a nonprofit organization</w:t>
      </w:r>
      <w:r w:rsidRPr="00F87B8F">
        <w:rPr>
          <w:rFonts w:ascii="Times New Roman" w:hAnsi="Times New Roman"/>
          <w:i/>
          <w:sz w:val="22"/>
          <w:szCs w:val="22"/>
        </w:rPr>
        <w:t xml:space="preserve">).  Each member may be </w:t>
      </w:r>
    </w:p>
    <w:p w14:paraId="09FB0A3D" w14:textId="24774F36" w:rsidR="0065163D" w:rsidRPr="00F87B8F" w:rsidRDefault="0065163D" w:rsidP="0065163D">
      <w:pPr>
        <w:widowControl w:val="0"/>
        <w:jc w:val="both"/>
        <w:rPr>
          <w:rFonts w:ascii="Times New Roman" w:hAnsi="Times New Roman"/>
          <w:b/>
          <w:sz w:val="22"/>
          <w:szCs w:val="22"/>
          <w:u w:val="single"/>
        </w:rPr>
      </w:pPr>
      <w:r w:rsidRPr="00F87B8F">
        <w:rPr>
          <w:rFonts w:ascii="Times New Roman" w:hAnsi="Times New Roman"/>
          <w:b/>
          <w:sz w:val="22"/>
          <w:szCs w:val="22"/>
          <w:u w:val="single"/>
        </w:rPr>
        <w:lastRenderedPageBreak/>
        <w:t>Schools (Continued):</w:t>
      </w:r>
    </w:p>
    <w:p w14:paraId="420DCEFD" w14:textId="6A818942" w:rsidR="000D6CDB" w:rsidRPr="00F87B8F" w:rsidRDefault="000D6CDB" w:rsidP="000D6CDB">
      <w:pPr>
        <w:widowControl w:val="0"/>
        <w:ind w:left="720"/>
        <w:jc w:val="both"/>
        <w:rPr>
          <w:rFonts w:ascii="Times New Roman" w:hAnsi="Times New Roman"/>
          <w:i/>
          <w:sz w:val="22"/>
          <w:szCs w:val="22"/>
        </w:rPr>
      </w:pPr>
      <w:proofErr w:type="gramStart"/>
      <w:r w:rsidRPr="00F87B8F">
        <w:rPr>
          <w:rFonts w:ascii="Times New Roman" w:hAnsi="Times New Roman"/>
          <w:i/>
          <w:sz w:val="22"/>
          <w:szCs w:val="22"/>
        </w:rPr>
        <w:t>compensated</w:t>
      </w:r>
      <w:proofErr w:type="gramEnd"/>
      <w:r w:rsidRPr="00F87B8F">
        <w:rPr>
          <w:rFonts w:ascii="Times New Roman" w:hAnsi="Times New Roman"/>
          <w:i/>
          <w:sz w:val="22"/>
          <w:szCs w:val="22"/>
        </w:rPr>
        <w:t>:</w:t>
      </w:r>
    </w:p>
    <w:p w14:paraId="11BF25A8" w14:textId="17B3E052" w:rsidR="000D6CDB" w:rsidRDefault="000D6CDB" w:rsidP="000D6CDB">
      <w:pPr>
        <w:pStyle w:val="ListParagraph"/>
        <w:widowControl w:val="0"/>
        <w:numPr>
          <w:ilvl w:val="0"/>
          <w:numId w:val="65"/>
        </w:numPr>
        <w:ind w:left="1080"/>
        <w:jc w:val="both"/>
        <w:rPr>
          <w:rFonts w:ascii="Times New Roman" w:hAnsi="Times New Roman"/>
          <w:i/>
          <w:sz w:val="22"/>
          <w:szCs w:val="22"/>
        </w:rPr>
      </w:pPr>
      <w:r w:rsidRPr="00F87B8F">
        <w:rPr>
          <w:rFonts w:ascii="Times New Roman" w:hAnsi="Times New Roman"/>
          <w:i/>
          <w:sz w:val="22"/>
          <w:szCs w:val="22"/>
        </w:rPr>
        <w:t>no more than $125 per meeting or a total of $5,000 per year for all of the governing authorities on which the individual serves</w:t>
      </w:r>
    </w:p>
    <w:p w14:paraId="2FF25D0B" w14:textId="4EEA1B2F" w:rsidR="000D6CDB" w:rsidRPr="000D6CDB" w:rsidRDefault="000D6CDB" w:rsidP="000D6CDB">
      <w:pPr>
        <w:pStyle w:val="ListParagraph"/>
        <w:widowControl w:val="0"/>
        <w:numPr>
          <w:ilvl w:val="0"/>
          <w:numId w:val="65"/>
        </w:numPr>
        <w:ind w:left="1080"/>
        <w:jc w:val="both"/>
        <w:rPr>
          <w:rFonts w:ascii="Times New Roman" w:hAnsi="Times New Roman"/>
          <w:i/>
        </w:rPr>
      </w:pPr>
      <w:proofErr w:type="gramStart"/>
      <w:r w:rsidRPr="00F87B8F">
        <w:rPr>
          <w:rFonts w:ascii="Times New Roman" w:hAnsi="Times New Roman"/>
          <w:i/>
          <w:sz w:val="22"/>
          <w:szCs w:val="22"/>
        </w:rPr>
        <w:t>for</w:t>
      </w:r>
      <w:proofErr w:type="gramEnd"/>
      <w:r w:rsidRPr="00F87B8F">
        <w:rPr>
          <w:rFonts w:ascii="Times New Roman" w:hAnsi="Times New Roman"/>
          <w:i/>
          <w:sz w:val="22"/>
          <w:szCs w:val="22"/>
        </w:rPr>
        <w:t xml:space="preserve"> attendance at an approved training program, provided that such compensation shall not exceed $60 a day for attendance at a training program three hours or less, and $125 a day for attendance at a training program lasting longer than three hours.  (AOS interpretation is that the community school’s </w:t>
      </w:r>
      <w:r w:rsidRPr="000D6CDB">
        <w:rPr>
          <w:rFonts w:ascii="Times New Roman" w:hAnsi="Times New Roman"/>
          <w:i/>
        </w:rPr>
        <w:t xml:space="preserve">governing board or sponsor must approve the training program, and compensation for attendance at approved training programs must be included in the $5,000 compensation limit for the entire school year. </w:t>
      </w:r>
    </w:p>
    <w:p w14:paraId="7DBB8771" w14:textId="1F1C66CF"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41BDB622" w14:textId="20B0372A"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57F54BF9"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w:t>
      </w:r>
      <w:proofErr w:type="gramStart"/>
      <w:r w:rsidR="006E6023" w:rsidRPr="00D604F7">
        <w:rPr>
          <w:rFonts w:ascii="Times New Roman" w:hAnsi="Times New Roman"/>
          <w:sz w:val="22"/>
          <w:szCs w:val="22"/>
        </w:rPr>
        <w:t>)(</w:t>
      </w:r>
      <w:proofErr w:type="gramEnd"/>
      <w:r w:rsidR="006E6023" w:rsidRPr="00D604F7">
        <w:rPr>
          <w:rFonts w:ascii="Times New Roman" w:hAnsi="Times New Roman"/>
          <w:sz w:val="22"/>
          <w:szCs w:val="22"/>
        </w:rPr>
        <w:t xml:space="preserve">1) and Ohio Ethics Commission Op. No. </w:t>
      </w:r>
      <w:hyperlink r:id="rId12" w:history="1">
        <w:r w:rsidR="006E6023" w:rsidRPr="00790BE6">
          <w:rPr>
            <w:rStyle w:val="Hyperlink"/>
            <w:rFonts w:ascii="Times New Roman" w:hAnsi="Times New Roman"/>
            <w:sz w:val="22"/>
            <w:szCs w:val="22"/>
          </w:rPr>
          <w:t>2008-01</w:t>
        </w:r>
      </w:hyperlink>
      <w:r w:rsidR="006E6023" w:rsidRPr="00D604F7">
        <w:rPr>
          <w:rFonts w:ascii="Times New Roman" w:hAnsi="Times New Roman"/>
          <w:sz w:val="22"/>
          <w:szCs w:val="22"/>
        </w:rPr>
        <w:t xml:space="preserve"> – Compensation of school employees by outside organizations</w:t>
      </w:r>
      <w:r w:rsidR="006E6023" w:rsidRPr="00D604F7">
        <w:rPr>
          <w:rStyle w:val="FootnoteReference"/>
          <w:rFonts w:ascii="Times New Roman" w:hAnsi="Times New Roman"/>
          <w:sz w:val="22"/>
          <w:szCs w:val="22"/>
        </w:rPr>
        <w:footnoteReference w:id="4"/>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1C755029" w14:textId="77777777" w:rsidR="00DC2DDC" w:rsidRPr="00D604F7" w:rsidRDefault="00DC2DDC" w:rsidP="006E6023">
      <w:pPr>
        <w:widowControl w:val="0"/>
        <w:jc w:val="both"/>
        <w:rPr>
          <w:rFonts w:ascii="Times New Roman" w:hAnsi="Times New Roman"/>
          <w:sz w:val="22"/>
          <w:szCs w:val="22"/>
        </w:rPr>
      </w:pPr>
    </w:p>
    <w:p w14:paraId="5B910272"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14:paraId="6517A92D"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17571F47" w14:textId="4FA0C76B"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04579F71" w14:textId="5F9AD55A" w:rsidR="00F87B8F" w:rsidRDefault="00F87B8F">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308C71D1"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lastRenderedPageBreak/>
        <w:t>Counties</w:t>
      </w:r>
      <w:r w:rsidRPr="00C24E5A">
        <w:rPr>
          <w:rFonts w:ascii="Times New Roman" w:hAnsi="Times New Roman"/>
          <w:sz w:val="22"/>
          <w:szCs w:val="22"/>
        </w:rPr>
        <w:t>:</w:t>
      </w:r>
    </w:p>
    <w:p w14:paraId="16F72882" w14:textId="22C1851B"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5"/>
      </w:r>
      <w:r w:rsidRPr="00C24E5A">
        <w:rPr>
          <w:rFonts w:ascii="Times New Roman" w:hAnsi="Times New Roman"/>
          <w:sz w:val="22"/>
          <w:szCs w:val="22"/>
        </w:rPr>
        <w:t>; common pleas clerk, 325.08; recorder, 325.09; commissioners, 325.10; prosecutor, 325.11; engineer, 325.14</w:t>
      </w:r>
      <w:r w:rsidR="002536F7"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00C2088C">
        <w:rPr>
          <w:rFonts w:ascii="Times New Roman" w:hAnsi="Times New Roman"/>
          <w:sz w:val="22"/>
          <w:szCs w:val="22"/>
        </w:rPr>
        <w:t xml:space="preserve">1999 </w:t>
      </w:r>
      <w:r w:rsidRPr="00C24E5A">
        <w:rPr>
          <w:rFonts w:ascii="Times New Roman" w:hAnsi="Times New Roman"/>
          <w:sz w:val="22"/>
          <w:szCs w:val="22"/>
        </w:rPr>
        <w:t>Op. Att</w:t>
      </w:r>
      <w:r w:rsidR="00144436">
        <w:rPr>
          <w:rFonts w:ascii="Times New Roman" w:hAnsi="Times New Roman"/>
          <w:sz w:val="22"/>
          <w:szCs w:val="22"/>
        </w:rPr>
        <w:t>’</w:t>
      </w:r>
      <w:r w:rsidRPr="00C24E5A">
        <w:rPr>
          <w:rFonts w:ascii="Times New Roman" w:hAnsi="Times New Roman"/>
          <w:sz w:val="22"/>
          <w:szCs w:val="22"/>
        </w:rPr>
        <w: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00C05C9A">
        <w:rPr>
          <w:rFonts w:ascii="Times New Roman" w:hAnsi="Times New Roman"/>
          <w:sz w:val="22"/>
          <w:szCs w:val="22"/>
        </w:rPr>
        <w:t>99-015</w:t>
      </w:r>
      <w:r w:rsidR="001932BB">
        <w:rPr>
          <w:rFonts w:ascii="Times New Roman" w:hAnsi="Times New Roman"/>
          <w:sz w:val="22"/>
          <w:szCs w:val="22"/>
        </w:rPr>
        <w:t xml:space="preserve">, </w:t>
      </w:r>
      <w:r w:rsidR="001932BB" w:rsidRPr="000D2878">
        <w:rPr>
          <w:rFonts w:ascii="Times New Roman" w:hAnsi="Times New Roman"/>
          <w:sz w:val="22"/>
          <w:szCs w:val="22"/>
        </w:rPr>
        <w:t>2001-01, &amp; 2016-01</w:t>
      </w:r>
      <w:r w:rsidR="00C05C9A">
        <w:rPr>
          <w:rFonts w:ascii="Times New Roman" w:hAnsi="Times New Roman"/>
          <w:sz w:val="22"/>
          <w:szCs w:val="22"/>
        </w:rPr>
        <w:t xml:space="preserve">); </w:t>
      </w:r>
    </w:p>
    <w:p w14:paraId="1765107E" w14:textId="77777777" w:rsidR="005778C1" w:rsidRDefault="005778C1" w:rsidP="00F4577C">
      <w:pPr>
        <w:spacing w:line="276" w:lineRule="auto"/>
        <w:rPr>
          <w:rFonts w:ascii="Times New Roman" w:hAnsi="Times New Roman"/>
          <w:b/>
          <w:sz w:val="22"/>
          <w:szCs w:val="22"/>
          <w:u w:val="single"/>
        </w:rPr>
      </w:pPr>
    </w:p>
    <w:p w14:paraId="1B367B6E"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5164F2FC"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6"/>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7"/>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6A29AF4B"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 xml:space="preserve">Additional considerations for reimbursement arrangements are outlined </w:t>
      </w:r>
      <w:r w:rsidR="0088000F" w:rsidRPr="00F87B8F">
        <w:rPr>
          <w:rFonts w:ascii="Times New Roman" w:hAnsi="Times New Roman"/>
          <w:sz w:val="22"/>
          <w:szCs w:val="22"/>
        </w:rPr>
        <w:t>in OCS</w:t>
      </w:r>
      <w:r w:rsidR="00AC09EA">
        <w:rPr>
          <w:rFonts w:ascii="Times New Roman" w:hAnsi="Times New Roman"/>
          <w:sz w:val="22"/>
          <w:szCs w:val="22"/>
        </w:rPr>
        <w:t xml:space="preserve"> 3-13</w:t>
      </w:r>
      <w:r w:rsidR="00CF3552" w:rsidRPr="00F87B8F">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0F5825D6" w14:textId="77777777" w:rsidR="00DC2DDC" w:rsidRPr="00D604F7" w:rsidRDefault="00DC2DDC" w:rsidP="006E6023">
      <w:pPr>
        <w:widowControl w:val="0"/>
        <w:jc w:val="both"/>
        <w:rPr>
          <w:rFonts w:ascii="Times New Roman" w:hAnsi="Times New Roman"/>
          <w:b/>
          <w:sz w:val="22"/>
          <w:szCs w:val="22"/>
          <w:u w:val="single"/>
        </w:rPr>
      </w:pPr>
    </w:p>
    <w:p w14:paraId="43B031A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lastRenderedPageBreak/>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6E6023">
      <w:pPr>
        <w:widowControl w:val="0"/>
        <w:jc w:val="both"/>
        <w:rPr>
          <w:rFonts w:ascii="Times New Roman" w:hAnsi="Times New Roman"/>
          <w:b/>
          <w:sz w:val="22"/>
          <w:szCs w:val="22"/>
        </w:rPr>
      </w:pPr>
    </w:p>
    <w:p w14:paraId="61AABEAF" w14:textId="77777777" w:rsidR="006B3428" w:rsidRDefault="006B3428" w:rsidP="006E6023">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2C4C76A6" w14:textId="77777777" w:rsidR="006E6023" w:rsidRPr="00D604F7" w:rsidRDefault="006E6023" w:rsidP="006E6023">
      <w:pPr>
        <w:widowControl w:val="0"/>
        <w:jc w:val="both"/>
        <w:rPr>
          <w:rFonts w:ascii="Times New Roman" w:hAnsi="Times New Roman"/>
          <w:sz w:val="22"/>
          <w:szCs w:val="22"/>
        </w:rPr>
      </w:pPr>
    </w:p>
    <w:p w14:paraId="0C7098E5" w14:textId="77777777" w:rsidR="00BC3394" w:rsidRPr="005B5EE2" w:rsidRDefault="005F7C7D"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 up if the additional compensation (in the form of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pickup) would result in receiving total compensation greater than the statutory limit.  Therefore, we should calculate salary plus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proofErr w:type="gramStart"/>
      <w:r w:rsidRPr="005B5EE2">
        <w:rPr>
          <w:rFonts w:ascii="Times New Roman" w:hAnsi="Times New Roman"/>
          <w:sz w:val="22"/>
          <w:szCs w:val="22"/>
        </w:rPr>
        <w:t>)(</w:t>
      </w:r>
      <w:proofErr w:type="gramEnd"/>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79CD231D" w:rsidR="006E6023"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sz w:val="22"/>
          <w:szCs w:val="22"/>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sz w:val="22"/>
          <w:szCs w:val="22"/>
        </w:rPr>
      </w:r>
      <w:r w:rsidR="00BC3394" w:rsidRPr="00723519">
        <w:rPr>
          <w:rFonts w:ascii="Times New Roman" w:hAnsi="Times New Roman"/>
          <w:sz w:val="22"/>
          <w:szCs w:val="22"/>
        </w:rPr>
        <w:fldChar w:fldCharType="separate"/>
      </w:r>
      <w:r w:rsidR="00AC09EA">
        <w:rPr>
          <w:rFonts w:ascii="Times New Roman" w:hAnsi="Times New Roman"/>
          <w:sz w:val="22"/>
          <w:szCs w:val="22"/>
        </w:rPr>
        <w:t>2</w:t>
      </w:r>
      <w:r w:rsidR="00BC3394" w:rsidRPr="00723519">
        <w:rPr>
          <w:rFonts w:ascii="Times New Roman" w:hAnsi="Times New Roman"/>
          <w:sz w:val="22"/>
          <w:szCs w:val="22"/>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p>
    <w:p w14:paraId="608E001A" w14:textId="77777777" w:rsidR="00342D41" w:rsidRDefault="00342D41">
      <w:pPr>
        <w:spacing w:after="200" w:line="276" w:lineRule="auto"/>
        <w:rPr>
          <w:rFonts w:ascii="Times New Roman" w:hAnsi="Times New Roman"/>
          <w:b/>
          <w:sz w:val="22"/>
          <w:szCs w:val="22"/>
        </w:rPr>
      </w:pPr>
      <w:r>
        <w:rPr>
          <w:rFonts w:ascii="Times New Roman" w:hAnsi="Times New Roman"/>
          <w:b/>
          <w:sz w:val="22"/>
          <w:szCs w:val="22"/>
        </w:rPr>
        <w:br w:type="page"/>
      </w:r>
    </w:p>
    <w:p w14:paraId="42A6BE29" w14:textId="1A2584AB" w:rsidR="00CA2A52" w:rsidRPr="00CA0E1A" w:rsidRDefault="00505DFA" w:rsidP="00723519">
      <w:pPr>
        <w:pStyle w:val="Heading3"/>
        <w:jc w:val="both"/>
        <w:rPr>
          <w:rFonts w:ascii="Times New Roman" w:hAnsi="Times New Roman"/>
          <w:color w:val="auto"/>
          <w:sz w:val="22"/>
          <w:szCs w:val="22"/>
        </w:rPr>
      </w:pPr>
      <w:bookmarkStart w:id="11" w:name="_Toc465258700"/>
      <w:bookmarkStart w:id="12" w:name="_Toc56760208"/>
      <w:r w:rsidRPr="00CA0E1A">
        <w:rPr>
          <w:rFonts w:ascii="Times New Roman" w:hAnsi="Times New Roman"/>
          <w:color w:val="auto"/>
          <w:sz w:val="22"/>
          <w:szCs w:val="22"/>
        </w:rPr>
        <w:lastRenderedPageBreak/>
        <w:t>3-4</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Requirements</w:t>
      </w:r>
      <w:r w:rsidR="00CA2A52" w:rsidRPr="00CA0E1A">
        <w:rPr>
          <w:rFonts w:ascii="Times New Roman" w:hAnsi="Times New Roman"/>
          <w:color w:val="auto"/>
          <w:sz w:val="22"/>
          <w:szCs w:val="22"/>
        </w:rPr>
        <w:t xml:space="preserve">: </w:t>
      </w:r>
      <w:r w:rsidR="00CA2A52"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585A31">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CA2A52" w:rsidRPr="00CA0E1A">
        <w:rPr>
          <w:rFonts w:ascii="Times New Roman" w:hAnsi="Times New Roman"/>
          <w:b w:val="0"/>
          <w:color w:val="auto"/>
          <w:sz w:val="22"/>
          <w:szCs w:val="22"/>
        </w:rPr>
        <w:t>9.03, 124.57,</w:t>
      </w:r>
      <w:r w:rsidR="00523FFF" w:rsidRPr="00CA0E1A">
        <w:rPr>
          <w:rFonts w:ascii="Times New Roman" w:hAnsi="Times New Roman"/>
          <w:b w:val="0"/>
          <w:color w:val="auto"/>
          <w:sz w:val="22"/>
          <w:szCs w:val="22"/>
        </w:rPr>
        <w:t xml:space="preserve"> 124.59, </w:t>
      </w:r>
      <w:r w:rsidR="00CA2A52" w:rsidRPr="00CA0E1A">
        <w:rPr>
          <w:rFonts w:ascii="Times New Roman" w:hAnsi="Times New Roman"/>
          <w:b w:val="0"/>
          <w:color w:val="auto"/>
          <w:sz w:val="22"/>
          <w:szCs w:val="22"/>
        </w:rPr>
        <w:t>124.61 and 3315.07(C) - Political activities prohibited.</w:t>
      </w:r>
      <w:bookmarkEnd w:id="11"/>
      <w:bookmarkEnd w:id="12"/>
    </w:p>
    <w:p w14:paraId="11DA0722" w14:textId="77777777" w:rsidR="00CA2A52" w:rsidRDefault="00CA2A52" w:rsidP="003A2C51">
      <w:pPr>
        <w:widowControl w:val="0"/>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w:t>
      </w:r>
      <w:proofErr w:type="gramStart"/>
      <w:r w:rsidRPr="00AA70E4">
        <w:rPr>
          <w:rFonts w:ascii="Times New Roman" w:hAnsi="Times New Roman"/>
          <w:sz w:val="22"/>
          <w:szCs w:val="22"/>
        </w:rPr>
        <w:t>)(</w:t>
      </w:r>
      <w:proofErr w:type="gramEnd"/>
      <w:r w:rsidRPr="00AA70E4">
        <w:rPr>
          <w:rFonts w:ascii="Times New Roman" w:hAnsi="Times New Roman"/>
          <w:sz w:val="22"/>
          <w:szCs w:val="22"/>
        </w:rPr>
        <w:t>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75E54C08" w14:textId="77777777" w:rsidR="00F6380A" w:rsidRPr="00D604F7" w:rsidRDefault="00F6380A"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77777777" w:rsidR="007447D5" w:rsidRDefault="006E6023" w:rsidP="006E6023">
      <w:pPr>
        <w:widowControl w:val="0"/>
        <w:jc w:val="center"/>
        <w:rPr>
          <w:rFonts w:ascii="Times New Roman" w:hAnsi="Times New Roman"/>
          <w:sz w:val="22"/>
          <w:szCs w:val="22"/>
        </w:rPr>
        <w:sectPr w:rsidR="007447D5" w:rsidSect="007447D5">
          <w:headerReference w:type="default" r:id="rId14"/>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050507D0" w14:textId="4076022B" w:rsidR="006E6023" w:rsidRPr="00CA0E1A" w:rsidRDefault="00505DFA" w:rsidP="00723519">
      <w:pPr>
        <w:pStyle w:val="Heading3"/>
        <w:spacing w:before="0"/>
        <w:jc w:val="both"/>
        <w:rPr>
          <w:rFonts w:ascii="Times New Roman" w:hAnsi="Times New Roman"/>
          <w:b w:val="0"/>
          <w:color w:val="auto"/>
          <w:sz w:val="22"/>
          <w:szCs w:val="22"/>
        </w:rPr>
      </w:pPr>
      <w:bookmarkStart w:id="13" w:name="_Toc465258701"/>
      <w:bookmarkStart w:id="14" w:name="_Toc56760209"/>
      <w:r w:rsidRPr="00CA0E1A">
        <w:rPr>
          <w:rFonts w:ascii="Times New Roman" w:hAnsi="Times New Roman"/>
          <w:color w:val="auto"/>
          <w:sz w:val="22"/>
          <w:szCs w:val="22"/>
        </w:rPr>
        <w:lastRenderedPageBreak/>
        <w:t>3-5</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w:t>
      </w:r>
      <w:r w:rsidR="00C66AD3" w:rsidRPr="00CA0E1A">
        <w:rPr>
          <w:rFonts w:ascii="Times New Roman" w:hAnsi="Times New Roman"/>
          <w:color w:val="auto"/>
          <w:sz w:val="22"/>
          <w:szCs w:val="22"/>
        </w:rPr>
        <w:t xml:space="preserve">  </w:t>
      </w:r>
      <w:r w:rsidR="00874839" w:rsidRPr="00CA0E1A">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3.06, 3.30</w:t>
      </w:r>
      <w:r w:rsidR="0064003A">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 xml:space="preserve">and various others specific to Universities - </w:t>
      </w:r>
      <w:r w:rsidR="00C66AD3" w:rsidRPr="00CA0E1A">
        <w:rPr>
          <w:rFonts w:ascii="Times New Roman" w:hAnsi="Times New Roman"/>
          <w:b w:val="0"/>
          <w:color w:val="auto"/>
          <w:sz w:val="22"/>
          <w:szCs w:val="22"/>
        </w:rPr>
        <w:t>Bonding requirements</w:t>
      </w:r>
      <w:bookmarkEnd w:id="13"/>
      <w:bookmarkEnd w:id="14"/>
    </w:p>
    <w:p w14:paraId="2D096DC9" w14:textId="77777777" w:rsidR="006E6023" w:rsidRDefault="006E6023" w:rsidP="006E6023">
      <w:pPr>
        <w:widowControl w:val="0"/>
        <w:jc w:val="both"/>
        <w:rPr>
          <w:rFonts w:ascii="Times New Roman" w:hAnsi="Times New Roman"/>
          <w:b/>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0250E04B" w14:textId="099DC4D1" w:rsidR="003A20E3" w:rsidRPr="008B59F5" w:rsidRDefault="003A20E3" w:rsidP="006E6023">
      <w:pPr>
        <w:widowControl w:val="0"/>
        <w:jc w:val="both"/>
        <w:rPr>
          <w:rFonts w:ascii="Times New Roman" w:hAnsi="Times New Roman"/>
          <w:sz w:val="22"/>
          <w:szCs w:val="22"/>
        </w:rPr>
      </w:pPr>
      <w:r w:rsidRPr="008B59F5">
        <w:rPr>
          <w:rFonts w:ascii="Times New Roman" w:hAnsi="Times New Roman"/>
          <w:sz w:val="22"/>
          <w:szCs w:val="22"/>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p>
    <w:p w14:paraId="42175CC9" w14:textId="77777777" w:rsidR="006E6023" w:rsidRPr="00D604F7" w:rsidRDefault="006E6023" w:rsidP="006E6023">
      <w:pPr>
        <w:widowControl w:val="0"/>
        <w:jc w:val="both"/>
        <w:rPr>
          <w:rFonts w:ascii="Times New Roman" w:hAnsi="Times New Roman"/>
          <w:sz w:val="22"/>
          <w:szCs w:val="22"/>
        </w:rPr>
      </w:pPr>
    </w:p>
    <w:p w14:paraId="154F755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 xml:space="preserve">3.30 </w:t>
      </w:r>
      <w:r w:rsidR="00DC4847">
        <w:rPr>
          <w:rFonts w:ascii="Times New Roman" w:hAnsi="Times New Roman"/>
          <w:sz w:val="22"/>
          <w:szCs w:val="22"/>
        </w:rPr>
        <w:t>–</w:t>
      </w:r>
      <w:r w:rsidRPr="00D604F7">
        <w:rPr>
          <w:rFonts w:ascii="Times New Roman" w:hAnsi="Times New Roman"/>
          <w:sz w:val="22"/>
          <w:szCs w:val="22"/>
        </w:rPr>
        <w:t xml:space="preserve"> </w:t>
      </w:r>
      <w:r w:rsidR="00DC4847">
        <w:rPr>
          <w:rFonts w:ascii="Times New Roman" w:hAnsi="Times New Roman"/>
          <w:sz w:val="22"/>
          <w:szCs w:val="22"/>
        </w:rPr>
        <w:t>Refusal or neglect</w:t>
      </w:r>
      <w:r w:rsidRPr="00D604F7">
        <w:rPr>
          <w:rFonts w:ascii="Times New Roman" w:hAnsi="Times New Roman"/>
          <w:sz w:val="22"/>
          <w:szCs w:val="22"/>
        </w:rPr>
        <w:t xml:space="preserve"> to give bond deemed refusal of office.</w:t>
      </w:r>
    </w:p>
    <w:p w14:paraId="24558125" w14:textId="77777777" w:rsidR="006E6023" w:rsidRPr="00D604F7" w:rsidRDefault="006E6023" w:rsidP="006E6023">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77777777" w:rsidR="006E6023" w:rsidRPr="00D604F7" w:rsidRDefault="006E6023" w:rsidP="006E6023">
      <w:pPr>
        <w:widowControl w:val="0"/>
        <w:jc w:val="both"/>
        <w:rPr>
          <w:rFonts w:ascii="Times New Roman" w:hAnsi="Times New Roman"/>
          <w:b/>
          <w:sz w:val="22"/>
          <w:szCs w:val="22"/>
          <w:u w:val="single"/>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w:t>
      </w:r>
      <w:proofErr w:type="gramStart"/>
      <w:r w:rsidRPr="00D604F7">
        <w:rPr>
          <w:rFonts w:ascii="Times New Roman" w:hAnsi="Times New Roman"/>
          <w:b/>
          <w:i/>
          <w:sz w:val="22"/>
          <w:szCs w:val="22"/>
        </w:rPr>
        <w:t>approval</w:t>
      </w:r>
      <w:proofErr w:type="gramEnd"/>
      <w:r w:rsidRPr="00D604F7">
        <w:rPr>
          <w:rFonts w:ascii="Times New Roman" w:hAnsi="Times New Roman"/>
          <w:b/>
          <w:i/>
          <w:sz w:val="22"/>
          <w:szCs w:val="22"/>
        </w:rPr>
        <w:t xml:space="preserve"> of their bonds unless otherwise indicated)</w:t>
      </w:r>
      <w:r w:rsidRPr="00D604F7">
        <w:rPr>
          <w:rFonts w:ascii="Times New Roman" w:hAnsi="Times New Roman"/>
          <w:b/>
          <w:sz w:val="22"/>
          <w:szCs w:val="22"/>
        </w:rPr>
        <w:t>:</w:t>
      </w: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lastRenderedPageBreak/>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77777777" w:rsidR="007938CC" w:rsidRPr="003A20E3" w:rsidRDefault="007938CC" w:rsidP="007938CC">
      <w:pPr>
        <w:pStyle w:val="ListParagraph"/>
        <w:widowControl w:val="0"/>
        <w:numPr>
          <w:ilvl w:val="0"/>
          <w:numId w:val="59"/>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8B59F5" w:rsidRDefault="007938CC" w:rsidP="007938CC">
      <w:pPr>
        <w:pStyle w:val="ListParagraph"/>
        <w:widowControl w:val="0"/>
        <w:numPr>
          <w:ilvl w:val="0"/>
          <w:numId w:val="60"/>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8B59F5">
        <w:rPr>
          <w:rFonts w:ascii="Times New Roman" w:hAnsi="Times New Roman"/>
          <w:sz w:val="22"/>
          <w:szCs w:val="22"/>
        </w:rPr>
        <w:t>and/or insured with an Employee dishonesty and faithful performance of duty policy,</w:t>
      </w:r>
    </w:p>
    <w:p w14:paraId="2494E285" w14:textId="77777777" w:rsidR="007938CC" w:rsidRPr="008B59F5" w:rsidRDefault="007938CC" w:rsidP="007938CC">
      <w:pPr>
        <w:pStyle w:val="ListParagraph"/>
        <w:widowControl w:val="0"/>
        <w:numPr>
          <w:ilvl w:val="0"/>
          <w:numId w:val="60"/>
        </w:numPr>
        <w:ind w:left="1080"/>
        <w:jc w:val="both"/>
        <w:rPr>
          <w:rFonts w:ascii="Times New Roman" w:hAnsi="Times New Roman"/>
          <w:sz w:val="22"/>
          <w:szCs w:val="22"/>
        </w:rPr>
      </w:pPr>
      <w:r w:rsidRPr="008B59F5">
        <w:rPr>
          <w:rFonts w:ascii="Times New Roman" w:hAnsi="Times New Roman"/>
          <w:sz w:val="22"/>
          <w:szCs w:val="22"/>
        </w:rPr>
        <w:t>Whether or not they have blanket bonds on officials or employees,</w:t>
      </w:r>
    </w:p>
    <w:p w14:paraId="7EC2C322" w14:textId="77777777" w:rsidR="007938CC" w:rsidRPr="008B59F5" w:rsidRDefault="007938CC" w:rsidP="007938CC">
      <w:pPr>
        <w:pStyle w:val="ListParagraph"/>
        <w:widowControl w:val="0"/>
        <w:numPr>
          <w:ilvl w:val="0"/>
          <w:numId w:val="60"/>
        </w:numPr>
        <w:ind w:left="1080"/>
        <w:jc w:val="both"/>
        <w:rPr>
          <w:rFonts w:ascii="Times New Roman" w:hAnsi="Times New Roman"/>
          <w:sz w:val="22"/>
          <w:szCs w:val="22"/>
        </w:rPr>
      </w:pPr>
      <w:r w:rsidRPr="008B59F5">
        <w:rPr>
          <w:rFonts w:ascii="Times New Roman" w:hAnsi="Times New Roman"/>
          <w:sz w:val="22"/>
          <w:szCs w:val="22"/>
        </w:rPr>
        <w:t>How they determine whether employees are eligible for such blanket bonding? (Note: None of the bond requirements in Tables 1 or 2 in Exhibit 2 in the OCS Implementation Guide may be substituted with a blanket bond. However, those highlighted yellow may instead have an Employee dishonesty and faithful performance of duty policy)</w:t>
      </w:r>
    </w:p>
    <w:p w14:paraId="10C4DFBF" w14:textId="77777777" w:rsidR="007938CC" w:rsidRPr="008B59F5" w:rsidRDefault="007938CC" w:rsidP="007938CC">
      <w:pPr>
        <w:pStyle w:val="ListParagraph"/>
        <w:widowControl w:val="0"/>
        <w:numPr>
          <w:ilvl w:val="0"/>
          <w:numId w:val="60"/>
        </w:numPr>
        <w:ind w:left="1080"/>
        <w:jc w:val="both"/>
        <w:rPr>
          <w:rFonts w:ascii="Times New Roman" w:hAnsi="Times New Roman"/>
          <w:sz w:val="22"/>
          <w:szCs w:val="22"/>
        </w:rPr>
      </w:pPr>
      <w:r w:rsidRPr="008B59F5">
        <w:rPr>
          <w:rFonts w:ascii="Times New Roman" w:hAnsi="Times New Roman"/>
          <w:sz w:val="22"/>
          <w:szCs w:val="22"/>
        </w:rPr>
        <w:t>[If the amount of the bond is not specified by statute],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8B59F5" w:rsidRDefault="007938CC" w:rsidP="007938CC">
      <w:pPr>
        <w:pStyle w:val="ListParagraph"/>
        <w:widowControl w:val="0"/>
        <w:jc w:val="both"/>
        <w:rPr>
          <w:rFonts w:ascii="Times New Roman" w:hAnsi="Times New Roman"/>
          <w:sz w:val="22"/>
          <w:szCs w:val="22"/>
        </w:rPr>
      </w:pPr>
    </w:p>
    <w:p w14:paraId="02393271" w14:textId="77777777" w:rsidR="007938CC" w:rsidRPr="008B59F5" w:rsidRDefault="007938CC" w:rsidP="007938CC">
      <w:pPr>
        <w:widowControl w:val="0"/>
        <w:jc w:val="both"/>
        <w:rPr>
          <w:rFonts w:ascii="Times New Roman" w:hAnsi="Times New Roman"/>
          <w:sz w:val="22"/>
          <w:szCs w:val="22"/>
        </w:rPr>
      </w:pPr>
      <w:r w:rsidRPr="008B59F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8B59F5" w:rsidRDefault="007938CC" w:rsidP="007938CC">
      <w:pPr>
        <w:widowControl w:val="0"/>
        <w:ind w:left="360" w:hanging="360"/>
        <w:jc w:val="both"/>
        <w:rPr>
          <w:rFonts w:ascii="Times New Roman" w:hAnsi="Times New Roman"/>
          <w:sz w:val="22"/>
          <w:szCs w:val="22"/>
        </w:rPr>
      </w:pPr>
    </w:p>
    <w:p w14:paraId="1FB24084" w14:textId="77777777" w:rsidR="007938CC" w:rsidRPr="008B59F5" w:rsidRDefault="007938CC" w:rsidP="007938CC">
      <w:pPr>
        <w:pStyle w:val="ListParagraph"/>
        <w:widowControl w:val="0"/>
        <w:numPr>
          <w:ilvl w:val="0"/>
          <w:numId w:val="59"/>
        </w:numPr>
        <w:ind w:left="360"/>
        <w:jc w:val="both"/>
        <w:rPr>
          <w:rFonts w:ascii="Times New Roman" w:hAnsi="Times New Roman"/>
          <w:sz w:val="22"/>
          <w:szCs w:val="22"/>
        </w:rPr>
      </w:pPr>
      <w:r w:rsidRPr="008B59F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Default="007938CC" w:rsidP="007938CC">
      <w:pPr>
        <w:pStyle w:val="ListParagraph"/>
        <w:widowControl w:val="0"/>
        <w:numPr>
          <w:ilvl w:val="0"/>
          <w:numId w:val="61"/>
        </w:numPr>
        <w:ind w:left="1080"/>
        <w:jc w:val="both"/>
        <w:rPr>
          <w:rFonts w:ascii="Times New Roman" w:hAnsi="Times New Roman"/>
          <w:sz w:val="22"/>
          <w:szCs w:val="22"/>
        </w:rPr>
      </w:pPr>
      <w:r w:rsidRPr="008B59F5">
        <w:rPr>
          <w:rFonts w:ascii="Times New Roman" w:hAnsi="Times New Roman"/>
          <w:sz w:val="22"/>
          <w:szCs w:val="22"/>
        </w:rPr>
        <w:t>meet or exceed require</w:t>
      </w:r>
      <w:r>
        <w:rPr>
          <w:rFonts w:ascii="Times New Roman" w:hAnsi="Times New Roman"/>
          <w:sz w:val="22"/>
          <w:szCs w:val="22"/>
        </w:rPr>
        <w:t>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7938CC">
      <w:pPr>
        <w:pStyle w:val="ListParagraph"/>
        <w:widowControl w:val="0"/>
        <w:numPr>
          <w:ilvl w:val="0"/>
          <w:numId w:val="61"/>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15"/>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1DBAF3F6" w14:textId="4148B412" w:rsidR="003A2C51" w:rsidRPr="00CA0E1A" w:rsidRDefault="003A2C51" w:rsidP="00CA0E1A">
      <w:pPr>
        <w:pStyle w:val="Heading1"/>
        <w:shd w:val="clear" w:color="auto" w:fill="BFBFBF" w:themeFill="background1" w:themeFillShade="BF"/>
        <w:spacing w:before="0"/>
        <w:jc w:val="center"/>
        <w:rPr>
          <w:rFonts w:ascii="Times New Roman" w:hAnsi="Times New Roman"/>
          <w:b w:val="0"/>
          <w:i/>
          <w:color w:val="auto"/>
          <w:sz w:val="22"/>
          <w:szCs w:val="22"/>
        </w:rPr>
      </w:pPr>
      <w:bookmarkStart w:id="15" w:name="_Toc465258702"/>
      <w:bookmarkStart w:id="16" w:name="_Toc56760210"/>
      <w:r w:rsidRPr="00CA0E1A">
        <w:rPr>
          <w:rFonts w:ascii="Times New Roman" w:hAnsi="Times New Roman"/>
          <w:i/>
          <w:color w:val="auto"/>
          <w:sz w:val="22"/>
          <w:szCs w:val="22"/>
        </w:rPr>
        <w:lastRenderedPageBreak/>
        <w:t>COMMUNITY SCHOOLS</w:t>
      </w:r>
      <w:bookmarkEnd w:id="15"/>
      <w:bookmarkEnd w:id="16"/>
    </w:p>
    <w:bookmarkStart w:id="17" w:name="_Toc525143439"/>
    <w:p w14:paraId="57FC4F85" w14:textId="5ABD7962" w:rsidR="00BD4837" w:rsidRPr="000A7221" w:rsidRDefault="000A7221" w:rsidP="000A7221">
      <w:pPr>
        <w:jc w:val="both"/>
        <w:rPr>
          <w:rFonts w:ascii="Times New Roman" w:hAnsi="Times New Roman"/>
          <w:b/>
          <w:sz w:val="22"/>
          <w:szCs w:val="22"/>
        </w:rPr>
      </w:pPr>
      <w:r w:rsidRPr="000A7221">
        <w:rPr>
          <w:rFonts w:ascii="Times New Roman" w:hAnsi="Times New Roman"/>
          <w:b/>
          <w:noProof/>
          <w:sz w:val="22"/>
          <w:szCs w:val="22"/>
        </w:rPr>
        <mc:AlternateContent>
          <mc:Choice Requires="wps">
            <w:drawing>
              <wp:anchor distT="45720" distB="45720" distL="114300" distR="114300" simplePos="0" relativeHeight="251661312" behindDoc="0" locked="0" layoutInCell="1" allowOverlap="1" wp14:anchorId="62B8B651" wp14:editId="2ADFD341">
                <wp:simplePos x="0" y="0"/>
                <wp:positionH relativeFrom="margin">
                  <wp:align>left</wp:align>
                </wp:positionH>
                <wp:positionV relativeFrom="paragraph">
                  <wp:posOffset>48895</wp:posOffset>
                </wp:positionV>
                <wp:extent cx="1981200" cy="10858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85850"/>
                        </a:xfrm>
                        <a:prstGeom prst="rect">
                          <a:avLst/>
                        </a:prstGeom>
                        <a:solidFill>
                          <a:srgbClr val="FFFFFF"/>
                        </a:solidFill>
                        <a:ln w="9525">
                          <a:solidFill>
                            <a:srgbClr val="000000"/>
                          </a:solidFill>
                          <a:miter lim="800000"/>
                          <a:headEnd/>
                          <a:tailEnd/>
                        </a:ln>
                      </wps:spPr>
                      <wps:txbx>
                        <w:txbxContent>
                          <w:p w14:paraId="7996830B" w14:textId="3D936747" w:rsidR="006C6DDE" w:rsidRPr="001D4E45" w:rsidRDefault="006C6DDE" w:rsidP="00BD4837">
                            <w:pPr>
                              <w:rPr>
                                <w:rFonts w:ascii="Times New Roman" w:eastAsiaTheme="minorHAnsi" w:hAnsi="Times New Roman"/>
                                <w:b/>
                                <w:bCs/>
                                <w:sz w:val="22"/>
                                <w:szCs w:val="22"/>
                                <w:u w:val="double"/>
                              </w:rPr>
                            </w:pPr>
                            <w:r w:rsidRPr="001D4E45">
                              <w:rPr>
                                <w:rFonts w:ascii="Times New Roman" w:eastAsiaTheme="minorHAnsi" w:hAnsi="Times New Roman"/>
                                <w:b/>
                                <w:bCs/>
                                <w:sz w:val="22"/>
                                <w:szCs w:val="22"/>
                                <w:u w:val="double"/>
                              </w:rPr>
                              <w:t>Revised:  HB 166, 133 GA</w:t>
                            </w:r>
                          </w:p>
                          <w:p w14:paraId="1E2E3196" w14:textId="22DF3C9F" w:rsidR="006C6DDE" w:rsidRDefault="006C6DDE" w:rsidP="00BD4837">
                            <w:pPr>
                              <w:rPr>
                                <w:rFonts w:ascii="Times New Roman" w:eastAsiaTheme="minorHAnsi" w:hAnsi="Times New Roman"/>
                                <w:b/>
                                <w:bCs/>
                                <w:sz w:val="22"/>
                                <w:szCs w:val="22"/>
                                <w:u w:val="double"/>
                              </w:rPr>
                            </w:pPr>
                            <w:r w:rsidRPr="001D4E45">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July 18, 2019</w:t>
                            </w:r>
                          </w:p>
                          <w:p w14:paraId="69256DC3" w14:textId="77777777" w:rsidR="00A25A2F" w:rsidRDefault="00A25A2F" w:rsidP="00BD4837">
                            <w:pPr>
                              <w:rPr>
                                <w:rFonts w:ascii="Times New Roman" w:eastAsiaTheme="minorHAnsi" w:hAnsi="Times New Roman"/>
                                <w:b/>
                                <w:bCs/>
                                <w:sz w:val="22"/>
                                <w:szCs w:val="22"/>
                                <w:u w:val="double"/>
                              </w:rPr>
                            </w:pPr>
                          </w:p>
                          <w:p w14:paraId="142404CB" w14:textId="77777777" w:rsidR="00A25A2F" w:rsidRPr="00A47165" w:rsidRDefault="00A25A2F" w:rsidP="00A25A2F">
                            <w:pPr>
                              <w:rPr>
                                <w:rFonts w:ascii="Times New Roman" w:hAnsi="Times New Roman"/>
                                <w:b/>
                                <w:sz w:val="22"/>
                                <w:szCs w:val="22"/>
                                <w:u w:val="double"/>
                              </w:rPr>
                            </w:pPr>
                            <w:r w:rsidRPr="00A47165">
                              <w:rPr>
                                <w:rFonts w:ascii="Times New Roman" w:hAnsi="Times New Roman"/>
                                <w:b/>
                                <w:sz w:val="22"/>
                                <w:szCs w:val="22"/>
                                <w:u w:val="double"/>
                              </w:rPr>
                              <w:t>Revised:  HB 409 133 GA, as amended by HB 67, 134 GA</w:t>
                            </w:r>
                          </w:p>
                          <w:p w14:paraId="44D8A5CE" w14:textId="77777777" w:rsidR="00A25A2F" w:rsidRPr="00A47165" w:rsidRDefault="00A25A2F" w:rsidP="00A25A2F">
                            <w:pPr>
                              <w:rPr>
                                <w:rFonts w:ascii="Times New Roman" w:hAnsi="Times New Roman"/>
                                <w:sz w:val="22"/>
                                <w:szCs w:val="22"/>
                                <w:u w:val="double"/>
                              </w:rPr>
                            </w:pPr>
                            <w:r w:rsidRPr="00A47165">
                              <w:rPr>
                                <w:rFonts w:ascii="Times New Roman" w:hAnsi="Times New Roman"/>
                                <w:b/>
                                <w:sz w:val="22"/>
                                <w:szCs w:val="22"/>
                                <w:u w:val="double"/>
                              </w:rPr>
                              <w:t xml:space="preserve">Effective:  </w:t>
                            </w:r>
                            <w:r>
                              <w:rPr>
                                <w:rFonts w:ascii="Times New Roman" w:hAnsi="Times New Roman"/>
                                <w:b/>
                                <w:sz w:val="22"/>
                                <w:szCs w:val="22"/>
                                <w:u w:val="double"/>
                              </w:rPr>
                              <w:t>March 20, 2021</w:t>
                            </w:r>
                          </w:p>
                          <w:p w14:paraId="678BF4AA" w14:textId="77777777" w:rsidR="00A25A2F" w:rsidRPr="001D4E45" w:rsidRDefault="00A25A2F" w:rsidP="00BD4837">
                            <w:pPr>
                              <w:rPr>
                                <w:rFonts w:ascii="Times New Roman" w:hAnsi="Times New Roman"/>
                                <w:b/>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8B651" id="_x0000_t202" coordsize="21600,21600" o:spt="202" path="m,l,21600r21600,l21600,xe">
                <v:stroke joinstyle="miter"/>
                <v:path gradientshapeok="t" o:connecttype="rect"/>
              </v:shapetype>
              <v:shape id="_x0000_s1031" type="#_x0000_t202" style="position:absolute;left:0;text-align:left;margin-left:0;margin-top:3.85pt;width:156pt;height:8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5yJwIAAEw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">
                <v:textbox>
                  <w:txbxContent>
                    <w:p w14:paraId="7996830B" w14:textId="3D936747" w:rsidR="006C6DDE" w:rsidRPr="001D4E45" w:rsidRDefault="006C6DDE" w:rsidP="00BD4837">
                      <w:pPr>
                        <w:rPr>
                          <w:rFonts w:ascii="Times New Roman" w:eastAsiaTheme="minorHAnsi" w:hAnsi="Times New Roman"/>
                          <w:b/>
                          <w:bCs/>
                          <w:sz w:val="22"/>
                          <w:szCs w:val="22"/>
                          <w:u w:val="double"/>
                        </w:rPr>
                      </w:pPr>
                      <w:r w:rsidRPr="001D4E45">
                        <w:rPr>
                          <w:rFonts w:ascii="Times New Roman" w:eastAsiaTheme="minorHAnsi" w:hAnsi="Times New Roman"/>
                          <w:b/>
                          <w:bCs/>
                          <w:sz w:val="22"/>
                          <w:szCs w:val="22"/>
                          <w:u w:val="double"/>
                        </w:rPr>
                        <w:t xml:space="preserve">Revised:  </w:t>
                      </w:r>
                      <w:proofErr w:type="spellStart"/>
                      <w:r w:rsidRPr="001D4E45">
                        <w:rPr>
                          <w:rFonts w:ascii="Times New Roman" w:eastAsiaTheme="minorHAnsi" w:hAnsi="Times New Roman"/>
                          <w:b/>
                          <w:bCs/>
                          <w:sz w:val="22"/>
                          <w:szCs w:val="22"/>
                          <w:u w:val="double"/>
                        </w:rPr>
                        <w:t>HB</w:t>
                      </w:r>
                      <w:proofErr w:type="spellEnd"/>
                      <w:r w:rsidRPr="001D4E45">
                        <w:rPr>
                          <w:rFonts w:ascii="Times New Roman" w:eastAsiaTheme="minorHAnsi" w:hAnsi="Times New Roman"/>
                          <w:b/>
                          <w:bCs/>
                          <w:sz w:val="22"/>
                          <w:szCs w:val="22"/>
                          <w:u w:val="double"/>
                        </w:rPr>
                        <w:t xml:space="preserve"> 166, 133 GA</w:t>
                      </w:r>
                    </w:p>
                    <w:p w14:paraId="1E2E3196" w14:textId="22DF3C9F" w:rsidR="006C6DDE" w:rsidRDefault="006C6DDE" w:rsidP="00BD4837">
                      <w:pPr>
                        <w:rPr>
                          <w:rFonts w:ascii="Times New Roman" w:eastAsiaTheme="minorHAnsi" w:hAnsi="Times New Roman"/>
                          <w:b/>
                          <w:bCs/>
                          <w:sz w:val="22"/>
                          <w:szCs w:val="22"/>
                          <w:u w:val="double"/>
                        </w:rPr>
                      </w:pPr>
                      <w:r w:rsidRPr="001D4E45">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July 18, 2019</w:t>
                      </w:r>
                    </w:p>
                    <w:p w14:paraId="69256DC3" w14:textId="77777777" w:rsidR="00A25A2F" w:rsidRDefault="00A25A2F" w:rsidP="00BD4837">
                      <w:pPr>
                        <w:rPr>
                          <w:rFonts w:ascii="Times New Roman" w:eastAsiaTheme="minorHAnsi" w:hAnsi="Times New Roman"/>
                          <w:b/>
                          <w:bCs/>
                          <w:sz w:val="22"/>
                          <w:szCs w:val="22"/>
                          <w:u w:val="double"/>
                        </w:rPr>
                      </w:pPr>
                    </w:p>
                    <w:p w14:paraId="142404CB" w14:textId="77777777" w:rsidR="00A25A2F" w:rsidRPr="00A47165" w:rsidRDefault="00A25A2F" w:rsidP="00A25A2F">
                      <w:pPr>
                        <w:rPr>
                          <w:rFonts w:ascii="Times New Roman" w:hAnsi="Times New Roman"/>
                          <w:b/>
                          <w:sz w:val="22"/>
                          <w:szCs w:val="22"/>
                          <w:u w:val="double"/>
                        </w:rPr>
                      </w:pPr>
                      <w:r w:rsidRPr="00A47165">
                        <w:rPr>
                          <w:rFonts w:ascii="Times New Roman" w:hAnsi="Times New Roman"/>
                          <w:b/>
                          <w:sz w:val="22"/>
                          <w:szCs w:val="22"/>
                          <w:u w:val="double"/>
                        </w:rPr>
                        <w:t xml:space="preserve">Revised:  </w:t>
                      </w:r>
                      <w:proofErr w:type="spellStart"/>
                      <w:r w:rsidRPr="00A47165">
                        <w:rPr>
                          <w:rFonts w:ascii="Times New Roman" w:hAnsi="Times New Roman"/>
                          <w:b/>
                          <w:sz w:val="22"/>
                          <w:szCs w:val="22"/>
                          <w:u w:val="double"/>
                        </w:rPr>
                        <w:t>HB</w:t>
                      </w:r>
                      <w:proofErr w:type="spellEnd"/>
                      <w:r w:rsidRPr="00A47165">
                        <w:rPr>
                          <w:rFonts w:ascii="Times New Roman" w:hAnsi="Times New Roman"/>
                          <w:b/>
                          <w:sz w:val="22"/>
                          <w:szCs w:val="22"/>
                          <w:u w:val="double"/>
                        </w:rPr>
                        <w:t xml:space="preserve"> 409 133 GA, as amended by </w:t>
                      </w:r>
                      <w:proofErr w:type="spellStart"/>
                      <w:r w:rsidRPr="00A47165">
                        <w:rPr>
                          <w:rFonts w:ascii="Times New Roman" w:hAnsi="Times New Roman"/>
                          <w:b/>
                          <w:sz w:val="22"/>
                          <w:szCs w:val="22"/>
                          <w:u w:val="double"/>
                        </w:rPr>
                        <w:t>HB</w:t>
                      </w:r>
                      <w:proofErr w:type="spellEnd"/>
                      <w:r w:rsidRPr="00A47165">
                        <w:rPr>
                          <w:rFonts w:ascii="Times New Roman" w:hAnsi="Times New Roman"/>
                          <w:b/>
                          <w:sz w:val="22"/>
                          <w:szCs w:val="22"/>
                          <w:u w:val="double"/>
                        </w:rPr>
                        <w:t xml:space="preserve"> 67, 134 GA</w:t>
                      </w:r>
                    </w:p>
                    <w:p w14:paraId="44D8A5CE" w14:textId="77777777" w:rsidR="00A25A2F" w:rsidRPr="00A47165" w:rsidRDefault="00A25A2F" w:rsidP="00A25A2F">
                      <w:pPr>
                        <w:rPr>
                          <w:rFonts w:ascii="Times New Roman" w:hAnsi="Times New Roman"/>
                          <w:sz w:val="22"/>
                          <w:szCs w:val="22"/>
                          <w:u w:val="double"/>
                        </w:rPr>
                      </w:pPr>
                      <w:r w:rsidRPr="00A47165">
                        <w:rPr>
                          <w:rFonts w:ascii="Times New Roman" w:hAnsi="Times New Roman"/>
                          <w:b/>
                          <w:sz w:val="22"/>
                          <w:szCs w:val="22"/>
                          <w:u w:val="double"/>
                        </w:rPr>
                        <w:t xml:space="preserve">Effective:  </w:t>
                      </w:r>
                      <w:r>
                        <w:rPr>
                          <w:rFonts w:ascii="Times New Roman" w:hAnsi="Times New Roman"/>
                          <w:b/>
                          <w:sz w:val="22"/>
                          <w:szCs w:val="22"/>
                          <w:u w:val="double"/>
                        </w:rPr>
                        <w:t>March 20, 2021</w:t>
                      </w:r>
                    </w:p>
                    <w:p w14:paraId="678BF4AA" w14:textId="77777777" w:rsidR="00A25A2F" w:rsidRPr="001D4E45" w:rsidRDefault="00A25A2F" w:rsidP="00BD4837">
                      <w:pPr>
                        <w:rPr>
                          <w:rFonts w:ascii="Times New Roman" w:hAnsi="Times New Roman"/>
                          <w:b/>
                          <w:sz w:val="22"/>
                          <w:szCs w:val="22"/>
                          <w:u w:val="double"/>
                        </w:rPr>
                      </w:pPr>
                    </w:p>
                  </w:txbxContent>
                </v:textbox>
                <w10:wrap type="square" anchorx="margin"/>
              </v:shape>
            </w:pict>
          </mc:Fallback>
        </mc:AlternateContent>
      </w:r>
    </w:p>
    <w:p w14:paraId="4E19F676" w14:textId="1734AC2A" w:rsidR="00BD4837" w:rsidRPr="000A7221" w:rsidRDefault="00BD4837" w:rsidP="000A7221">
      <w:pPr>
        <w:jc w:val="both"/>
        <w:rPr>
          <w:rFonts w:ascii="Times New Roman" w:hAnsi="Times New Roman"/>
          <w:b/>
          <w:sz w:val="22"/>
          <w:szCs w:val="22"/>
        </w:rPr>
      </w:pPr>
    </w:p>
    <w:p w14:paraId="5466FED8" w14:textId="7DC1517F" w:rsidR="00BD4837" w:rsidRDefault="00BD4837" w:rsidP="000A7221">
      <w:pPr>
        <w:jc w:val="both"/>
        <w:rPr>
          <w:rFonts w:ascii="Times New Roman" w:hAnsi="Times New Roman"/>
          <w:b/>
          <w:sz w:val="22"/>
          <w:szCs w:val="22"/>
        </w:rPr>
      </w:pPr>
    </w:p>
    <w:p w14:paraId="7E30EEB5" w14:textId="707E1128" w:rsidR="000A7221" w:rsidRPr="000A7221" w:rsidRDefault="000A7221" w:rsidP="000A7221">
      <w:pPr>
        <w:jc w:val="both"/>
        <w:rPr>
          <w:rFonts w:ascii="Times New Roman" w:hAnsi="Times New Roman"/>
          <w:b/>
          <w:sz w:val="22"/>
          <w:szCs w:val="22"/>
        </w:rPr>
      </w:pPr>
    </w:p>
    <w:p w14:paraId="63525750" w14:textId="77777777" w:rsidR="00A25A2F" w:rsidRDefault="00A25A2F" w:rsidP="000A7221">
      <w:pPr>
        <w:pStyle w:val="Heading3"/>
        <w:spacing w:before="0"/>
        <w:jc w:val="both"/>
        <w:rPr>
          <w:rFonts w:ascii="Times New Roman" w:eastAsia="Times New Roman" w:hAnsi="Times New Roman" w:cs="Times New Roman"/>
          <w:bCs w:val="0"/>
          <w:color w:val="auto"/>
          <w:sz w:val="22"/>
          <w:szCs w:val="22"/>
        </w:rPr>
      </w:pPr>
      <w:bookmarkStart w:id="18" w:name="_Toc56760211"/>
    </w:p>
    <w:p w14:paraId="0E5183A9" w14:textId="77777777" w:rsidR="00A25A2F" w:rsidRDefault="00A25A2F" w:rsidP="000A7221">
      <w:pPr>
        <w:pStyle w:val="Heading3"/>
        <w:spacing w:before="0"/>
        <w:jc w:val="both"/>
        <w:rPr>
          <w:rFonts w:ascii="Times New Roman" w:eastAsia="Times New Roman" w:hAnsi="Times New Roman" w:cs="Times New Roman"/>
          <w:bCs w:val="0"/>
          <w:color w:val="auto"/>
          <w:sz w:val="22"/>
          <w:szCs w:val="22"/>
        </w:rPr>
      </w:pPr>
    </w:p>
    <w:p w14:paraId="1EDBFE02" w14:textId="77777777" w:rsidR="00A25A2F" w:rsidRDefault="00A25A2F" w:rsidP="000A7221">
      <w:pPr>
        <w:pStyle w:val="Heading3"/>
        <w:spacing w:before="0"/>
        <w:jc w:val="both"/>
        <w:rPr>
          <w:rFonts w:ascii="Times New Roman" w:eastAsia="Times New Roman" w:hAnsi="Times New Roman" w:cs="Times New Roman"/>
          <w:bCs w:val="0"/>
          <w:color w:val="auto"/>
          <w:sz w:val="22"/>
          <w:szCs w:val="22"/>
        </w:rPr>
      </w:pPr>
    </w:p>
    <w:p w14:paraId="0B39A8CF" w14:textId="77777777" w:rsidR="00A25A2F" w:rsidRDefault="00A25A2F" w:rsidP="000A7221">
      <w:pPr>
        <w:pStyle w:val="Heading3"/>
        <w:spacing w:before="0"/>
        <w:jc w:val="both"/>
        <w:rPr>
          <w:rFonts w:ascii="Times New Roman" w:eastAsia="Times New Roman" w:hAnsi="Times New Roman" w:cs="Times New Roman"/>
          <w:bCs w:val="0"/>
          <w:color w:val="auto"/>
          <w:sz w:val="22"/>
          <w:szCs w:val="22"/>
        </w:rPr>
      </w:pPr>
    </w:p>
    <w:p w14:paraId="1FF4B159" w14:textId="4D0D1DB6" w:rsidR="00013F1A" w:rsidRPr="00F60F81" w:rsidRDefault="00013F1A" w:rsidP="000A7221">
      <w:pPr>
        <w:pStyle w:val="Heading3"/>
        <w:spacing w:before="0"/>
        <w:jc w:val="both"/>
        <w:rPr>
          <w:rFonts w:cs="Times New Roman"/>
          <w:sz w:val="22"/>
          <w:szCs w:val="22"/>
        </w:rPr>
      </w:pPr>
      <w:r>
        <w:rPr>
          <w:rFonts w:ascii="Times New Roman" w:eastAsia="Times New Roman" w:hAnsi="Times New Roman" w:cs="Times New Roman"/>
          <w:bCs w:val="0"/>
          <w:color w:val="auto"/>
          <w:sz w:val="22"/>
          <w:szCs w:val="22"/>
        </w:rPr>
        <w:t xml:space="preserve">3-6 </w:t>
      </w:r>
      <w:r w:rsidRPr="00013F1A">
        <w:rPr>
          <w:rFonts w:ascii="Times New Roman" w:hAnsi="Times New Roman" w:cs="Times New Roman"/>
          <w:color w:val="auto"/>
          <w:sz w:val="22"/>
          <w:szCs w:val="22"/>
        </w:rPr>
        <w:t xml:space="preserve">Compliance Requirement: </w:t>
      </w:r>
      <w:r w:rsidRPr="00013F1A">
        <w:rPr>
          <w:rStyle w:val="Heading3Char"/>
          <w:rFonts w:ascii="Times New Roman" w:hAnsi="Times New Roman" w:cs="Times New Roman"/>
          <w:color w:val="auto"/>
          <w:sz w:val="22"/>
          <w:szCs w:val="22"/>
        </w:rPr>
        <w:t>Ohio Rev</w:t>
      </w:r>
      <w:r w:rsidRPr="009B5C00">
        <w:rPr>
          <w:rStyle w:val="Heading3Char"/>
          <w:rFonts w:ascii="Times New Roman" w:hAnsi="Times New Roman" w:cs="Times New Roman"/>
          <w:color w:val="auto"/>
          <w:sz w:val="22"/>
          <w:szCs w:val="22"/>
        </w:rPr>
        <w:t>. Code §§</w:t>
      </w:r>
      <w:r w:rsidRPr="009B5C00">
        <w:rPr>
          <w:rStyle w:val="Heading3Char"/>
          <w:rFonts w:ascii="Times New Roman" w:hAnsi="Times New Roman" w:cs="Times New Roman"/>
          <w:b/>
          <w:color w:val="auto"/>
          <w:sz w:val="22"/>
          <w:szCs w:val="22"/>
        </w:rPr>
        <w:t xml:space="preserve"> </w:t>
      </w:r>
      <w:bookmarkEnd w:id="17"/>
      <w:r w:rsidRPr="009B5C00">
        <w:rPr>
          <w:rFonts w:ascii="Times New Roman" w:eastAsia="Times New Roman" w:hAnsi="Times New Roman" w:cs="Times New Roman"/>
          <w:b w:val="0"/>
          <w:color w:val="auto"/>
          <w:sz w:val="22"/>
          <w:szCs w:val="22"/>
        </w:rPr>
        <w:t xml:space="preserve">3301.0710, </w:t>
      </w:r>
      <w:r w:rsidRPr="009B5C00">
        <w:rPr>
          <w:rFonts w:ascii="Times New Roman" w:eastAsia="Times New Roman" w:hAnsi="Times New Roman" w:cs="Times New Roman"/>
          <w:b w:val="0"/>
          <w:bCs w:val="0"/>
          <w:color w:val="auto"/>
          <w:sz w:val="22"/>
          <w:szCs w:val="22"/>
        </w:rPr>
        <w:t xml:space="preserve">3301.0712, </w:t>
      </w:r>
      <w:r w:rsidRPr="009B5C00">
        <w:rPr>
          <w:rStyle w:val="Heading3Char"/>
          <w:rFonts w:ascii="Times New Roman" w:hAnsi="Times New Roman" w:cs="Times New Roman"/>
          <w:color w:val="auto"/>
          <w:sz w:val="22"/>
          <w:szCs w:val="22"/>
        </w:rPr>
        <w:t>3314.017,</w:t>
      </w:r>
      <w:r w:rsidRPr="009B5C00">
        <w:rPr>
          <w:rStyle w:val="Heading3Char"/>
          <w:rFonts w:ascii="Times New Roman" w:hAnsi="Times New Roman" w:cs="Times New Roman"/>
          <w:b/>
          <w:color w:val="auto"/>
          <w:sz w:val="22"/>
          <w:szCs w:val="22"/>
        </w:rPr>
        <w:t xml:space="preserve"> </w:t>
      </w:r>
      <w:r w:rsidRPr="009B5C00">
        <w:rPr>
          <w:rFonts w:ascii="Times New Roman" w:eastAsia="Times New Roman" w:hAnsi="Times New Roman" w:cs="Times New Roman"/>
          <w:b w:val="0"/>
          <w:color w:val="auto"/>
          <w:sz w:val="22"/>
          <w:szCs w:val="22"/>
        </w:rPr>
        <w:t>3314.034</w:t>
      </w:r>
      <w:r w:rsidR="00E67ACC" w:rsidRPr="009B5C00">
        <w:rPr>
          <w:rFonts w:ascii="Times New Roman" w:eastAsia="Times New Roman" w:hAnsi="Times New Roman" w:cs="Times New Roman"/>
          <w:b w:val="0"/>
          <w:color w:val="auto"/>
          <w:sz w:val="22"/>
          <w:szCs w:val="22"/>
        </w:rPr>
        <w:t>, 3314.38</w:t>
      </w:r>
      <w:r w:rsidRPr="009B5C00">
        <w:rPr>
          <w:rStyle w:val="Heading3Char"/>
          <w:rFonts w:ascii="Times New Roman" w:hAnsi="Times New Roman" w:cs="Times New Roman"/>
          <w:b/>
          <w:color w:val="auto"/>
          <w:sz w:val="22"/>
          <w:szCs w:val="22"/>
        </w:rPr>
        <w:t xml:space="preserve">; </w:t>
      </w:r>
      <w:r w:rsidR="00DF2DC7" w:rsidRPr="009B5C00">
        <w:rPr>
          <w:rFonts w:ascii="Times New Roman" w:hAnsi="Times New Roman" w:cs="Times New Roman"/>
          <w:b w:val="0"/>
          <w:color w:val="auto"/>
          <w:sz w:val="22"/>
          <w:szCs w:val="22"/>
        </w:rPr>
        <w:t>Ohio Admin. Code</w:t>
      </w:r>
      <w:r w:rsidRPr="009B5C00">
        <w:rPr>
          <w:rFonts w:ascii="Times New Roman" w:hAnsi="Times New Roman" w:cs="Times New Roman"/>
          <w:b w:val="0"/>
          <w:color w:val="auto"/>
          <w:sz w:val="22"/>
          <w:szCs w:val="22"/>
        </w:rPr>
        <w:t xml:space="preserve"> 3301-102-10</w:t>
      </w:r>
      <w:r w:rsidRPr="00013F1A">
        <w:rPr>
          <w:rFonts w:ascii="Times New Roman" w:hAnsi="Times New Roman" w:cs="Times New Roman"/>
          <w:color w:val="auto"/>
          <w:sz w:val="22"/>
          <w:szCs w:val="22"/>
        </w:rPr>
        <w:t xml:space="preserve"> </w:t>
      </w:r>
      <w:r w:rsidR="009B5C00">
        <w:rPr>
          <w:rFonts w:ascii="Times New Roman" w:hAnsi="Times New Roman" w:cs="Times New Roman"/>
          <w:color w:val="auto"/>
          <w:sz w:val="22"/>
          <w:szCs w:val="22"/>
        </w:rPr>
        <w:t xml:space="preserve">- </w:t>
      </w:r>
      <w:r w:rsidRPr="00013F1A">
        <w:rPr>
          <w:rStyle w:val="Heading3Char"/>
          <w:rFonts w:ascii="Times New Roman" w:hAnsi="Times New Roman" w:cs="Times New Roman"/>
          <w:color w:val="auto"/>
          <w:sz w:val="22"/>
          <w:szCs w:val="22"/>
        </w:rPr>
        <w:t xml:space="preserve">Dropout Prevention and Recovery School Eligibility </w:t>
      </w:r>
      <w:r w:rsidR="00D7559F" w:rsidRPr="00013F1A">
        <w:rPr>
          <w:rStyle w:val="Heading3Char"/>
          <w:rFonts w:ascii="Times New Roman" w:hAnsi="Times New Roman" w:cs="Times New Roman"/>
          <w:color w:val="auto"/>
          <w:sz w:val="22"/>
          <w:szCs w:val="22"/>
        </w:rPr>
        <w:t>Requirements</w:t>
      </w:r>
      <w:bookmarkEnd w:id="18"/>
    </w:p>
    <w:p w14:paraId="09446832" w14:textId="77777777" w:rsidR="00013F1A" w:rsidRPr="00F60F81" w:rsidRDefault="00013F1A" w:rsidP="00013F1A">
      <w:pPr>
        <w:jc w:val="both"/>
        <w:rPr>
          <w:rFonts w:ascii="Times New Roman" w:hAnsi="Times New Roman"/>
          <w:b/>
          <w:sz w:val="22"/>
          <w:szCs w:val="22"/>
        </w:rPr>
      </w:pPr>
    </w:p>
    <w:p w14:paraId="205DF6DF" w14:textId="77777777" w:rsidR="00013F1A" w:rsidRPr="00F60F81" w:rsidRDefault="00013F1A" w:rsidP="00013F1A">
      <w:pPr>
        <w:jc w:val="both"/>
        <w:rPr>
          <w:rFonts w:ascii="Times New Roman" w:hAnsi="Times New Roman"/>
          <w:b/>
          <w:sz w:val="22"/>
          <w:szCs w:val="22"/>
        </w:rPr>
      </w:pPr>
      <w:r w:rsidRPr="00F60F81">
        <w:rPr>
          <w:rFonts w:ascii="Times New Roman" w:hAnsi="Times New Roman"/>
          <w:b/>
          <w:sz w:val="22"/>
          <w:szCs w:val="22"/>
        </w:rPr>
        <w:t>Summary of Requirements:</w:t>
      </w:r>
    </w:p>
    <w:p w14:paraId="4FD47F09" w14:textId="4DC90B8A" w:rsidR="00013F1A" w:rsidRDefault="00013F1A" w:rsidP="00013F1A">
      <w:pPr>
        <w:jc w:val="both"/>
        <w:rPr>
          <w:rFonts w:ascii="Times New Roman" w:hAnsi="Times New Roman"/>
          <w:sz w:val="22"/>
          <w:szCs w:val="22"/>
        </w:rPr>
      </w:pPr>
      <w:r w:rsidRPr="00F60F81">
        <w:rPr>
          <w:rFonts w:ascii="Times New Roman" w:hAnsi="Times New Roman"/>
          <w:sz w:val="22"/>
          <w:szCs w:val="22"/>
        </w:rPr>
        <w:t xml:space="preserve">Schools designated as </w:t>
      </w:r>
      <w:hyperlink r:id="rId16" w:history="1">
        <w:r w:rsidRPr="00FB2E49">
          <w:rPr>
            <w:rStyle w:val="Hyperlink"/>
            <w:rFonts w:ascii="Times New Roman" w:hAnsi="Times New Roman"/>
            <w:sz w:val="22"/>
            <w:szCs w:val="22"/>
          </w:rPr>
          <w:t>Dropout Prevention and Recovery (DOPR)</w:t>
        </w:r>
      </w:hyperlink>
      <w:r>
        <w:rPr>
          <w:rFonts w:ascii="Times New Roman" w:hAnsi="Times New Roman"/>
          <w:sz w:val="22"/>
          <w:szCs w:val="22"/>
        </w:rPr>
        <w:t xml:space="preserve"> </w:t>
      </w:r>
      <w:r w:rsidRPr="00F60F81">
        <w:rPr>
          <w:rFonts w:ascii="Times New Roman" w:hAnsi="Times New Roman"/>
          <w:sz w:val="22"/>
          <w:szCs w:val="22"/>
        </w:rPr>
        <w:t>sc</w:t>
      </w:r>
      <w:r>
        <w:rPr>
          <w:rFonts w:ascii="Times New Roman" w:hAnsi="Times New Roman"/>
          <w:sz w:val="22"/>
          <w:szCs w:val="22"/>
        </w:rPr>
        <w:t>hools:</w:t>
      </w:r>
    </w:p>
    <w:p w14:paraId="261A54B0" w14:textId="34CC9EA6" w:rsidR="00013F1A" w:rsidRDefault="00013F1A" w:rsidP="00013F1A">
      <w:pPr>
        <w:pStyle w:val="ListParagraph"/>
        <w:numPr>
          <w:ilvl w:val="0"/>
          <w:numId w:val="55"/>
        </w:numPr>
        <w:jc w:val="both"/>
        <w:rPr>
          <w:rFonts w:ascii="Times New Roman" w:hAnsi="Times New Roman"/>
          <w:sz w:val="22"/>
          <w:szCs w:val="22"/>
        </w:rPr>
      </w:pPr>
      <w:r>
        <w:rPr>
          <w:rFonts w:ascii="Times New Roman" w:hAnsi="Times New Roman"/>
          <w:sz w:val="22"/>
          <w:szCs w:val="22"/>
        </w:rPr>
        <w:t>A</w:t>
      </w:r>
      <w:r w:rsidRPr="002139D0">
        <w:rPr>
          <w:rFonts w:ascii="Times New Roman" w:hAnsi="Times New Roman"/>
          <w:sz w:val="22"/>
          <w:szCs w:val="22"/>
        </w:rPr>
        <w:t>re eligible to receive an alternative report card</w:t>
      </w:r>
      <w:r w:rsidR="00131ADA">
        <w:rPr>
          <w:rFonts w:ascii="Times New Roman" w:hAnsi="Times New Roman"/>
          <w:sz w:val="22"/>
          <w:szCs w:val="22"/>
        </w:rPr>
        <w:t xml:space="preserve"> described at: </w:t>
      </w:r>
      <w:hyperlink r:id="rId17" w:history="1">
        <w:r w:rsidR="00702ADF">
          <w:rPr>
            <w:rStyle w:val="Hyperlink"/>
            <w:rFonts w:ascii="Times New Roman" w:hAnsi="Times New Roman"/>
            <w:sz w:val="22"/>
            <w:szCs w:val="22"/>
          </w:rPr>
          <w:t>http://education.ohio.gov/.../Dropout-Recovery/Understanding-Ohios-New-Dropout-Recovery-Community-School-Report-Card.pdf</w:t>
        </w:r>
      </w:hyperlink>
      <w:r>
        <w:rPr>
          <w:rFonts w:ascii="Times New Roman" w:hAnsi="Times New Roman"/>
          <w:sz w:val="22"/>
          <w:szCs w:val="22"/>
        </w:rPr>
        <w:t>;</w:t>
      </w:r>
    </w:p>
    <w:p w14:paraId="57F56EDA" w14:textId="77777777" w:rsidR="00144436"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 xml:space="preserve">Are eligible for the alternative </w:t>
      </w:r>
      <w:proofErr w:type="spellStart"/>
      <w:r>
        <w:rPr>
          <w:rFonts w:ascii="Times New Roman" w:hAnsi="Times New Roman"/>
          <w:sz w:val="22"/>
          <w:szCs w:val="22"/>
        </w:rPr>
        <w:t>NWEA</w:t>
      </w:r>
      <w:proofErr w:type="spellEnd"/>
      <w:r>
        <w:rPr>
          <w:rFonts w:ascii="Times New Roman" w:hAnsi="Times New Roman"/>
          <w:sz w:val="22"/>
          <w:szCs w:val="22"/>
        </w:rPr>
        <w:t xml:space="preserve"> MAP assessment testing of students; and</w:t>
      </w:r>
    </w:p>
    <w:p w14:paraId="13413749" w14:textId="77777777" w:rsidR="00144436" w:rsidRPr="002139D0"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Have flexibility with regards to certain requirements in the Ohio Rev. Code, such as start date (3314.03).</w:t>
      </w:r>
    </w:p>
    <w:p w14:paraId="47F2A6CA" w14:textId="265B2297" w:rsidR="00144436" w:rsidRDefault="00144436" w:rsidP="00144436">
      <w:pPr>
        <w:jc w:val="both"/>
        <w:rPr>
          <w:rFonts w:ascii="Times New Roman" w:hAnsi="Times New Roman"/>
          <w:b/>
          <w:sz w:val="22"/>
          <w:szCs w:val="22"/>
        </w:rPr>
      </w:pPr>
    </w:p>
    <w:p w14:paraId="42F560DC" w14:textId="717DF685" w:rsidR="00144436" w:rsidRPr="00F60F81" w:rsidRDefault="00DF2DC7" w:rsidP="00144436">
      <w:pPr>
        <w:jc w:val="both"/>
        <w:rPr>
          <w:rFonts w:ascii="Times New Roman" w:hAnsi="Times New Roman"/>
          <w:sz w:val="22"/>
          <w:szCs w:val="22"/>
        </w:rPr>
      </w:pPr>
      <w:r>
        <w:rPr>
          <w:rFonts w:ascii="Times New Roman" w:hAnsi="Times New Roman"/>
          <w:b/>
          <w:sz w:val="22"/>
          <w:szCs w:val="22"/>
        </w:rPr>
        <w:t>Ohio Admin. Code</w:t>
      </w:r>
      <w:r w:rsidR="00144436" w:rsidRPr="00F60F81">
        <w:rPr>
          <w:rFonts w:ascii="Times New Roman" w:hAnsi="Times New Roman"/>
          <w:b/>
          <w:sz w:val="22"/>
          <w:szCs w:val="22"/>
        </w:rPr>
        <w:t xml:space="preserve"> 3301-102-10(A) </w:t>
      </w:r>
      <w:r w:rsidR="00144436" w:rsidRPr="00F60F81">
        <w:rPr>
          <w:rFonts w:ascii="Times New Roman" w:hAnsi="Times New Roman"/>
          <w:sz w:val="22"/>
          <w:szCs w:val="22"/>
        </w:rPr>
        <w:t xml:space="preserve">states a </w:t>
      </w:r>
      <w:r w:rsidR="00144436" w:rsidRPr="00F60F81">
        <w:rPr>
          <w:rFonts w:ascii="Times New Roman" w:eastAsiaTheme="minorHAnsi" w:hAnsi="Times New Roman"/>
          <w:sz w:val="22"/>
          <w:szCs w:val="22"/>
        </w:rPr>
        <w:t xml:space="preserve">Dropout Prevention and Recovery school is one to which any of the following applies: </w:t>
      </w:r>
    </w:p>
    <w:p w14:paraId="5A91AAB7"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Any community school that operates a drug recovery program in cooperation with a court; or </w:t>
      </w:r>
    </w:p>
    <w:p w14:paraId="214F23AC"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Any community school in which the majority</w:t>
      </w:r>
      <w:r>
        <w:rPr>
          <w:rStyle w:val="FootnoteReference"/>
          <w:rFonts w:ascii="Times New Roman" w:eastAsiaTheme="minorHAnsi" w:hAnsi="Times New Roman"/>
          <w:sz w:val="22"/>
          <w:szCs w:val="22"/>
        </w:rPr>
        <w:footnoteReference w:id="8"/>
      </w:r>
      <w:r w:rsidRPr="00F60F81">
        <w:rPr>
          <w:rFonts w:ascii="Times New Roman" w:eastAsiaTheme="minorHAnsi" w:hAnsi="Times New Roman"/>
          <w:sz w:val="22"/>
          <w:szCs w:val="22"/>
        </w:rPr>
        <w:t xml:space="preserve"> of students are enrolled in a dropout prevention and recovery program operated by the school that meets the following criteria: </w:t>
      </w:r>
    </w:p>
    <w:p w14:paraId="74183441"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serves only students not younger than sixteen years of age and not older than twenty-one years of age; </w:t>
      </w:r>
    </w:p>
    <w:p w14:paraId="5F999959"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enrolls students who, at the time of their initial enrollment, either, or both, are at least one grade level behind their cohort age groups or experience crises that significantly interfere with their academic progress such that they are prevented from continuing their traditional programs; </w:t>
      </w:r>
    </w:p>
    <w:p w14:paraId="229CCF5D" w14:textId="0C22B5EF" w:rsidR="00144436" w:rsidRPr="0025395E"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requires students to attain at least the </w:t>
      </w:r>
      <w:r w:rsidRPr="0025395E">
        <w:rPr>
          <w:rFonts w:ascii="Times New Roman" w:eastAsiaTheme="minorHAnsi" w:hAnsi="Times New Roman"/>
          <w:sz w:val="22"/>
          <w:szCs w:val="22"/>
        </w:rPr>
        <w:t xml:space="preserve">applicable score designated for each of the assessments prescribed under division (B)(1) of section 3301.0710 of the Revised Code or, to the extent prescribed by rule of the state board of education under division (D)(6) </w:t>
      </w:r>
      <w:r w:rsidR="00B90DE3">
        <w:rPr>
          <w:rStyle w:val="FootnoteReference"/>
          <w:rFonts w:ascii="Times New Roman" w:eastAsiaTheme="minorHAnsi" w:hAnsi="Times New Roman"/>
          <w:sz w:val="22"/>
          <w:szCs w:val="22"/>
        </w:rPr>
        <w:footnoteReference w:id="9"/>
      </w:r>
      <w:r w:rsidRPr="0025395E">
        <w:rPr>
          <w:rFonts w:ascii="Times New Roman" w:eastAsiaTheme="minorHAnsi" w:hAnsi="Times New Roman"/>
          <w:sz w:val="22"/>
          <w:szCs w:val="22"/>
        </w:rPr>
        <w:t xml:space="preserve">of section 3301.0712 of the Revised Code, division (B)(2) of that section; </w:t>
      </w:r>
    </w:p>
    <w:p w14:paraId="46FED351" w14:textId="77777777"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develops an individual career plan for the student that specifies the student's matriculating to a two-year degree program, acquiring a business and industry credential, or entering an apprenticeship; </w:t>
      </w:r>
    </w:p>
    <w:p w14:paraId="38FD9534" w14:textId="2E19A7E9"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provides counseling and support for the student related to the plan developed under division (A)(4) of </w:t>
      </w:r>
      <w:r w:rsidR="009B5C00">
        <w:rPr>
          <w:rFonts w:ascii="Times New Roman" w:eastAsiaTheme="minorHAnsi" w:hAnsi="Times New Roman"/>
          <w:sz w:val="22"/>
          <w:szCs w:val="22"/>
        </w:rPr>
        <w:t>Ohio Rev. Cod</w:t>
      </w:r>
      <w:r w:rsidR="006F2811">
        <w:rPr>
          <w:rFonts w:ascii="Times New Roman" w:eastAsiaTheme="minorHAnsi" w:hAnsi="Times New Roman"/>
          <w:sz w:val="22"/>
          <w:szCs w:val="22"/>
        </w:rPr>
        <w:t>e</w:t>
      </w:r>
      <w:r w:rsidR="009B5C00">
        <w:rPr>
          <w:rFonts w:ascii="Times New Roman" w:eastAsiaTheme="minorHAnsi" w:hAnsi="Times New Roman"/>
          <w:sz w:val="22"/>
          <w:szCs w:val="22"/>
        </w:rPr>
        <w:t xml:space="preserve"> § 3301.0710</w:t>
      </w:r>
      <w:r w:rsidRPr="0025395E">
        <w:rPr>
          <w:rFonts w:ascii="Times New Roman" w:eastAsiaTheme="minorHAnsi" w:hAnsi="Times New Roman"/>
          <w:sz w:val="22"/>
          <w:szCs w:val="22"/>
        </w:rPr>
        <w:t xml:space="preserve"> during the remainder of the student's high school experience; and </w:t>
      </w:r>
    </w:p>
    <w:p w14:paraId="7351D05E" w14:textId="77777777" w:rsidR="00013F1A" w:rsidRPr="00F60F81"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lastRenderedPageBreak/>
        <w:t xml:space="preserve">The program's instructional plan demonstrates how the academic content standards adopted by the state board of education under section 3301.079 of </w:t>
      </w:r>
      <w:r w:rsidRPr="00F60F81">
        <w:rPr>
          <w:rFonts w:ascii="Times New Roman" w:eastAsiaTheme="minorHAnsi" w:hAnsi="Times New Roman"/>
          <w:sz w:val="22"/>
          <w:szCs w:val="22"/>
        </w:rPr>
        <w:t xml:space="preserve">the Revised Code will be taught and assessed; or </w:t>
      </w:r>
    </w:p>
    <w:p w14:paraId="24B3963E" w14:textId="31C755E8" w:rsidR="00013F1A" w:rsidRPr="006F2811" w:rsidRDefault="00013F1A" w:rsidP="006F2811">
      <w:pPr>
        <w:pStyle w:val="CommentText"/>
        <w:ind w:left="360"/>
        <w:jc w:val="both"/>
        <w:rPr>
          <w:rFonts w:ascii="Times New Roman" w:hAnsi="Times New Roman"/>
          <w:sz w:val="22"/>
          <w:szCs w:val="22"/>
        </w:rPr>
      </w:pPr>
      <w:r w:rsidRPr="00F60F81">
        <w:rPr>
          <w:rFonts w:ascii="Times New Roman" w:eastAsiaTheme="minorHAnsi" w:hAnsi="Times New Roman"/>
          <w:sz w:val="22"/>
          <w:szCs w:val="22"/>
        </w:rPr>
        <w:t xml:space="preserve">Any conversion community school whose sponsoring district has received a waiver from having the school's academic data rolled up into the district's local report card because the school primarily enrolls students between sixteen and twenty-two years of age who dropped out of high school or are at risk of dropping out of high school due to poor attendance, disciplinary problems, </w:t>
      </w:r>
      <w:r w:rsidRPr="006F2811">
        <w:rPr>
          <w:rFonts w:ascii="Times New Roman" w:hAnsi="Times New Roman"/>
          <w:sz w:val="22"/>
          <w:szCs w:val="22"/>
        </w:rPr>
        <w:t xml:space="preserve">or suspensions. </w:t>
      </w:r>
    </w:p>
    <w:p w14:paraId="3E4B6DA0" w14:textId="77777777" w:rsidR="006F2811" w:rsidRDefault="006F2811" w:rsidP="006F2811">
      <w:pPr>
        <w:pStyle w:val="CommentText"/>
        <w:jc w:val="both"/>
        <w:rPr>
          <w:b/>
          <w:bCs/>
        </w:rPr>
      </w:pPr>
    </w:p>
    <w:p w14:paraId="353B33A8" w14:textId="28EF2743" w:rsidR="00E67ACC" w:rsidRPr="006F2811" w:rsidRDefault="00E67ACC" w:rsidP="006F2811">
      <w:pPr>
        <w:pStyle w:val="CommentText"/>
        <w:jc w:val="both"/>
        <w:rPr>
          <w:rFonts w:ascii="Times New Roman" w:hAnsi="Times New Roman"/>
          <w:sz w:val="22"/>
          <w:szCs w:val="22"/>
        </w:rPr>
      </w:pPr>
      <w:r w:rsidRPr="006F2811">
        <w:rPr>
          <w:rFonts w:ascii="Times New Roman" w:hAnsi="Times New Roman"/>
          <w:b/>
          <w:bCs/>
          <w:sz w:val="22"/>
          <w:szCs w:val="22"/>
        </w:rPr>
        <w:t>Ohio Rev. Code §</w:t>
      </w:r>
      <w:r w:rsidRPr="00481E3D">
        <w:rPr>
          <w:rFonts w:ascii="Times New Roman" w:hAnsi="Times New Roman"/>
          <w:b/>
          <w:bCs/>
          <w:sz w:val="22"/>
          <w:szCs w:val="22"/>
        </w:rPr>
        <w:t xml:space="preserve"> </w:t>
      </w:r>
      <w:r w:rsidRPr="00481E3D">
        <w:rPr>
          <w:rFonts w:ascii="Times New Roman" w:hAnsi="Times New Roman"/>
          <w:b/>
          <w:sz w:val="22"/>
          <w:szCs w:val="22"/>
        </w:rPr>
        <w:t>3314.38</w:t>
      </w:r>
      <w:r w:rsidRPr="006F2811">
        <w:rPr>
          <w:rFonts w:ascii="Times New Roman" w:hAnsi="Times New Roman"/>
          <w:sz w:val="22"/>
          <w:szCs w:val="22"/>
        </w:rPr>
        <w:t xml:space="preserve"> (A) states an individual who is at least twenty-two years of age and who is an eligible individual as defined in </w:t>
      </w:r>
      <w:r w:rsidR="009B5C00" w:rsidRPr="006F2811">
        <w:rPr>
          <w:rFonts w:ascii="Times New Roman" w:hAnsi="Times New Roman"/>
          <w:sz w:val="22"/>
          <w:szCs w:val="22"/>
        </w:rPr>
        <w:t>Ohio Rev. Code §</w:t>
      </w:r>
      <w:r w:rsidRPr="006F2811">
        <w:rPr>
          <w:rFonts w:ascii="Times New Roman" w:hAnsi="Times New Roman"/>
          <w:sz w:val="22"/>
          <w:szCs w:val="22"/>
        </w:rPr>
        <w:t xml:space="preserve"> </w:t>
      </w:r>
      <w:hyperlink r:id="rId18" w:history="1">
        <w:r w:rsidRPr="006F2811">
          <w:rPr>
            <w:rFonts w:ascii="Times New Roman" w:hAnsi="Times New Roman"/>
            <w:sz w:val="22"/>
            <w:szCs w:val="22"/>
          </w:rPr>
          <w:t>3317.23</w:t>
        </w:r>
      </w:hyperlink>
      <w:r w:rsidRPr="006F2811">
        <w:rPr>
          <w:rFonts w:ascii="Times New Roman" w:hAnsi="Times New Roman"/>
          <w:sz w:val="22"/>
          <w:szCs w:val="22"/>
        </w:rPr>
        <w:t xml:space="preserve"> may enroll for up to two consecutive school years in a dropout prevention and recovery program operated by a community school that is designed to allow enrollees to earn a high school diploma. </w:t>
      </w:r>
    </w:p>
    <w:p w14:paraId="414A4439" w14:textId="77777777" w:rsidR="00E67ACC" w:rsidRDefault="00E67ACC" w:rsidP="005D3225">
      <w:pPr>
        <w:pStyle w:val="CommentText"/>
        <w:ind w:left="360"/>
        <w:jc w:val="both"/>
        <w:rPr>
          <w:rFonts w:ascii="Times New Roman" w:hAnsi="Times New Roman"/>
          <w:sz w:val="22"/>
          <w:szCs w:val="22"/>
        </w:rPr>
      </w:pPr>
    </w:p>
    <w:p w14:paraId="71E82902" w14:textId="54D382E2" w:rsidR="00F85F7B" w:rsidRPr="005D3225" w:rsidRDefault="00E67ACC" w:rsidP="005D3225">
      <w:pPr>
        <w:pStyle w:val="CommentText"/>
        <w:jc w:val="both"/>
        <w:rPr>
          <w:rFonts w:ascii="Times New Roman" w:hAnsi="Times New Roman"/>
          <w:sz w:val="22"/>
          <w:szCs w:val="22"/>
        </w:rPr>
      </w:pPr>
      <w:r w:rsidRPr="005D3225">
        <w:rPr>
          <w:rFonts w:ascii="Times New Roman" w:hAnsi="Times New Roman"/>
          <w:b/>
          <w:sz w:val="22"/>
          <w:szCs w:val="22"/>
        </w:rPr>
        <w:t>Note:</w:t>
      </w:r>
      <w:r w:rsidRPr="00F85F7B">
        <w:rPr>
          <w:rFonts w:ascii="Times New Roman" w:hAnsi="Times New Roman"/>
          <w:sz w:val="22"/>
          <w:szCs w:val="22"/>
        </w:rPr>
        <w:t xml:space="preserve">  Ohio Admin. Code (OAC) 3301-102-10 refers to Dropout Prevention and Recovery “schools” in certain places, and refers to Dropout Prevention and Recovery “programs” in other places.  </w:t>
      </w:r>
      <w:r w:rsidRPr="00F85F7B">
        <w:rPr>
          <w:rStyle w:val="Heading3Char"/>
          <w:rFonts w:ascii="Times New Roman" w:hAnsi="Times New Roman" w:cs="Times New Roman"/>
          <w:b w:val="0"/>
          <w:color w:val="auto"/>
          <w:sz w:val="22"/>
          <w:szCs w:val="22"/>
        </w:rPr>
        <w:t>Ohio Rev. Code §</w:t>
      </w:r>
      <w:r w:rsidRPr="00F85F7B">
        <w:rPr>
          <w:rFonts w:ascii="Times New Roman" w:hAnsi="Times New Roman"/>
          <w:sz w:val="22"/>
          <w:szCs w:val="22"/>
        </w:rPr>
        <w:t xml:space="preserve"> 3314.38 strictly refers to Dropout Prevention and Recovery “programs”. Pursuant to </w:t>
      </w:r>
      <w:proofErr w:type="spellStart"/>
      <w:r w:rsidRPr="00F85F7B">
        <w:rPr>
          <w:rFonts w:ascii="Times New Roman" w:hAnsi="Times New Roman"/>
          <w:sz w:val="22"/>
          <w:szCs w:val="22"/>
        </w:rPr>
        <w:t>OAC</w:t>
      </w:r>
      <w:proofErr w:type="spellEnd"/>
      <w:r w:rsidRPr="00F85F7B">
        <w:rPr>
          <w:rFonts w:ascii="Times New Roman" w:hAnsi="Times New Roman"/>
          <w:sz w:val="22"/>
          <w:szCs w:val="22"/>
        </w:rPr>
        <w:t xml:space="preserve"> 3301-102-10(A)(2)(a) a </w:t>
      </w:r>
      <w:proofErr w:type="spellStart"/>
      <w:r w:rsidR="005B2097" w:rsidRPr="00F85F7B">
        <w:rPr>
          <w:rFonts w:ascii="Times New Roman" w:hAnsi="Times New Roman"/>
          <w:sz w:val="22"/>
          <w:szCs w:val="22"/>
        </w:rPr>
        <w:t>DOPR</w:t>
      </w:r>
      <w:proofErr w:type="spellEnd"/>
      <w:r w:rsidRPr="00F85F7B">
        <w:rPr>
          <w:rFonts w:ascii="Times New Roman" w:hAnsi="Times New Roman"/>
          <w:sz w:val="22"/>
          <w:szCs w:val="22"/>
        </w:rPr>
        <w:t xml:space="preserve"> “school</w:t>
      </w:r>
      <w:r w:rsidR="005B2097" w:rsidRPr="00F85F7B">
        <w:rPr>
          <w:rFonts w:ascii="Times New Roman" w:hAnsi="Times New Roman"/>
          <w:sz w:val="22"/>
          <w:szCs w:val="22"/>
        </w:rPr>
        <w:t>,” among other criteria, is a school</w:t>
      </w:r>
      <w:r w:rsidRPr="00F85F7B">
        <w:rPr>
          <w:rFonts w:ascii="Times New Roman" w:hAnsi="Times New Roman"/>
          <w:sz w:val="22"/>
          <w:szCs w:val="22"/>
        </w:rPr>
        <w:t xml:space="preserve"> that only enroll students between </w:t>
      </w:r>
      <w:r w:rsidR="005B2097" w:rsidRPr="00F85F7B">
        <w:rPr>
          <w:rFonts w:ascii="Times New Roman" w:hAnsi="Times New Roman"/>
          <w:sz w:val="22"/>
          <w:szCs w:val="22"/>
        </w:rPr>
        <w:t xml:space="preserve">ages </w:t>
      </w:r>
      <w:r w:rsidRPr="00F85F7B">
        <w:rPr>
          <w:rFonts w:ascii="Times New Roman" w:hAnsi="Times New Roman"/>
          <w:sz w:val="22"/>
          <w:szCs w:val="22"/>
        </w:rPr>
        <w:t xml:space="preserve">16-21 and the majority of the students must be enrolled in </w:t>
      </w:r>
      <w:r w:rsidR="005B2097" w:rsidRPr="00F85F7B">
        <w:rPr>
          <w:rFonts w:ascii="Times New Roman" w:hAnsi="Times New Roman"/>
          <w:sz w:val="22"/>
          <w:szCs w:val="22"/>
        </w:rPr>
        <w:t>DOPR</w:t>
      </w:r>
      <w:r w:rsidRPr="00F85F7B">
        <w:rPr>
          <w:rFonts w:ascii="Times New Roman" w:hAnsi="Times New Roman"/>
          <w:sz w:val="22"/>
          <w:szCs w:val="22"/>
        </w:rPr>
        <w:t xml:space="preserve">. However, DOPR “programs” allow students over the age of 22 to enroll. A “program” can consist of only a few individuals. There is no majority requirement for this type of “program”. DOPR community “schools” sponsor DOPR “programs.”  Therefore, if a DOPR school were to enroll a student over the age of 22 then they would not meet the eligibility criteria. However an individual over 22 years of age may enroll in a DOPR program that is sponsored by the school without issue. </w:t>
      </w:r>
      <w:r w:rsidR="00F85F7B">
        <w:rPr>
          <w:rFonts w:ascii="Times New Roman" w:hAnsi="Times New Roman"/>
          <w:sz w:val="22"/>
          <w:szCs w:val="22"/>
        </w:rPr>
        <w:t xml:space="preserve">In addition, these </w:t>
      </w:r>
      <w:r w:rsidR="00F85F7B" w:rsidRPr="005D3225">
        <w:rPr>
          <w:rFonts w:ascii="Times New Roman" w:hAnsi="Times New Roman"/>
          <w:sz w:val="22"/>
          <w:szCs w:val="22"/>
        </w:rPr>
        <w:t xml:space="preserve">individuals enrolled </w:t>
      </w:r>
      <w:r w:rsidR="00F85F7B" w:rsidRPr="00F85F7B">
        <w:rPr>
          <w:rFonts w:ascii="Times New Roman" w:hAnsi="Times New Roman"/>
          <w:sz w:val="22"/>
          <w:szCs w:val="22"/>
        </w:rPr>
        <w:t>under</w:t>
      </w:r>
      <w:r w:rsidR="00F85F7B">
        <w:rPr>
          <w:rFonts w:ascii="Times New Roman" w:hAnsi="Times New Roman"/>
          <w:sz w:val="22"/>
          <w:szCs w:val="22"/>
        </w:rPr>
        <w:t xml:space="preserve"> the</w:t>
      </w:r>
      <w:r w:rsidR="00F85F7B" w:rsidRPr="00F85F7B">
        <w:rPr>
          <w:rFonts w:ascii="Times New Roman" w:hAnsi="Times New Roman"/>
          <w:sz w:val="22"/>
          <w:szCs w:val="22"/>
        </w:rPr>
        <w:t xml:space="preserve"> </w:t>
      </w:r>
      <w:r w:rsidR="00F85F7B" w:rsidRPr="005D3225">
        <w:rPr>
          <w:rStyle w:val="Heading3Char"/>
          <w:rFonts w:ascii="Times New Roman" w:hAnsi="Times New Roman" w:cs="Times New Roman"/>
          <w:b w:val="0"/>
          <w:color w:val="auto"/>
          <w:sz w:val="22"/>
          <w:szCs w:val="22"/>
        </w:rPr>
        <w:t xml:space="preserve">Ohio Rev. Code § </w:t>
      </w:r>
      <w:r w:rsidR="00F85F7B" w:rsidRPr="005D3225">
        <w:rPr>
          <w:rFonts w:ascii="Times New Roman" w:hAnsi="Times New Roman"/>
          <w:color w:val="000000"/>
          <w:sz w:val="22"/>
          <w:szCs w:val="22"/>
        </w:rPr>
        <w:t>3314.38 (A)</w:t>
      </w:r>
      <w:r w:rsidR="00F85F7B" w:rsidRPr="005D3225">
        <w:rPr>
          <w:rFonts w:ascii="Times New Roman" w:hAnsi="Times New Roman"/>
          <w:sz w:val="22"/>
          <w:szCs w:val="22"/>
        </w:rPr>
        <w:t xml:space="preserve"> </w:t>
      </w:r>
      <w:r w:rsidR="00F85F7B" w:rsidRPr="00F85F7B">
        <w:rPr>
          <w:rFonts w:ascii="Times New Roman" w:hAnsi="Times New Roman"/>
          <w:sz w:val="22"/>
          <w:szCs w:val="22"/>
        </w:rPr>
        <w:t>“program”</w:t>
      </w:r>
      <w:r w:rsidR="00F85F7B" w:rsidRPr="005D3225">
        <w:rPr>
          <w:rFonts w:ascii="Times New Roman" w:hAnsi="Times New Roman"/>
          <w:sz w:val="22"/>
          <w:szCs w:val="22"/>
        </w:rPr>
        <w:t xml:space="preserve"> do not fall into the </w:t>
      </w:r>
      <w:r w:rsidR="00F85F7B" w:rsidRPr="00F85F7B">
        <w:rPr>
          <w:rFonts w:ascii="Times New Roman" w:hAnsi="Times New Roman"/>
          <w:sz w:val="22"/>
          <w:szCs w:val="22"/>
        </w:rPr>
        <w:t>majority (</w:t>
      </w:r>
      <w:r w:rsidR="00F85F7B" w:rsidRPr="005D3225">
        <w:rPr>
          <w:rFonts w:ascii="Times New Roman" w:hAnsi="Times New Roman"/>
          <w:sz w:val="22"/>
          <w:szCs w:val="22"/>
        </w:rPr>
        <w:t>50%</w:t>
      </w:r>
      <w:r w:rsidR="00F85F7B" w:rsidRPr="00F85F7B">
        <w:rPr>
          <w:rFonts w:ascii="Times New Roman" w:hAnsi="Times New Roman"/>
          <w:sz w:val="22"/>
          <w:szCs w:val="22"/>
        </w:rPr>
        <w:t>)</w:t>
      </w:r>
      <w:r w:rsidR="00F85F7B" w:rsidRPr="005D3225">
        <w:rPr>
          <w:rFonts w:ascii="Times New Roman" w:hAnsi="Times New Roman"/>
          <w:sz w:val="22"/>
          <w:szCs w:val="22"/>
        </w:rPr>
        <w:t xml:space="preserve"> enrollment for </w:t>
      </w:r>
      <w:r w:rsidR="00F85F7B" w:rsidRPr="00F85F7B">
        <w:rPr>
          <w:rFonts w:ascii="Times New Roman" w:hAnsi="Times New Roman"/>
          <w:sz w:val="22"/>
          <w:szCs w:val="22"/>
        </w:rPr>
        <w:t>DOPR</w:t>
      </w:r>
      <w:r w:rsidR="00F85F7B" w:rsidRPr="005D3225">
        <w:rPr>
          <w:rFonts w:ascii="Times New Roman" w:hAnsi="Times New Roman"/>
          <w:sz w:val="22"/>
          <w:szCs w:val="22"/>
        </w:rPr>
        <w:t xml:space="preserve"> </w:t>
      </w:r>
      <w:r w:rsidR="00F85F7B" w:rsidRPr="00F85F7B">
        <w:rPr>
          <w:rFonts w:ascii="Times New Roman" w:hAnsi="Times New Roman"/>
          <w:sz w:val="22"/>
          <w:szCs w:val="22"/>
        </w:rPr>
        <w:t>“</w:t>
      </w:r>
      <w:r w:rsidR="00F85F7B" w:rsidRPr="005D3225">
        <w:rPr>
          <w:rFonts w:ascii="Times New Roman" w:hAnsi="Times New Roman"/>
          <w:sz w:val="22"/>
          <w:szCs w:val="22"/>
        </w:rPr>
        <w:t>schools</w:t>
      </w:r>
      <w:r w:rsidR="00F85F7B">
        <w:rPr>
          <w:rFonts w:ascii="Times New Roman" w:hAnsi="Times New Roman"/>
          <w:sz w:val="22"/>
          <w:szCs w:val="22"/>
        </w:rPr>
        <w:t>”</w:t>
      </w:r>
      <w:r w:rsidR="00F85F7B" w:rsidRPr="005D3225">
        <w:rPr>
          <w:rFonts w:ascii="Times New Roman" w:hAnsi="Times New Roman"/>
          <w:sz w:val="22"/>
          <w:szCs w:val="22"/>
        </w:rPr>
        <w:t>.</w:t>
      </w:r>
    </w:p>
    <w:p w14:paraId="47376160" w14:textId="2480E8EB" w:rsidR="00E67ACC" w:rsidRDefault="00E67ACC" w:rsidP="005D3225">
      <w:pPr>
        <w:pStyle w:val="CommentText"/>
        <w:jc w:val="both"/>
        <w:rPr>
          <w:rFonts w:ascii="Times New Roman" w:hAnsi="Times New Roman"/>
          <w:sz w:val="22"/>
          <w:szCs w:val="22"/>
        </w:rPr>
      </w:pPr>
    </w:p>
    <w:p w14:paraId="1897982D" w14:textId="14D92066" w:rsidR="00013F1A" w:rsidRDefault="00013F1A" w:rsidP="00013F1A">
      <w:pPr>
        <w:pStyle w:val="ListParagraph"/>
        <w:spacing w:after="200" w:line="276" w:lineRule="auto"/>
        <w:ind w:left="0"/>
        <w:jc w:val="both"/>
        <w:rPr>
          <w:rFonts w:ascii="Times New Roman" w:hAnsi="Times New Roman"/>
          <w:b/>
          <w:sz w:val="22"/>
          <w:szCs w:val="22"/>
        </w:rPr>
      </w:pPr>
      <w:r w:rsidRPr="00F60F81">
        <w:rPr>
          <w:rFonts w:ascii="Times New Roman" w:hAnsi="Times New Roman"/>
          <w:b/>
          <w:sz w:val="22"/>
          <w:szCs w:val="22"/>
        </w:rPr>
        <w:t>Timeline for Form Submission – Dropout Prevention and Recovery Report Card designation:</w:t>
      </w:r>
    </w:p>
    <w:p w14:paraId="7C084B96" w14:textId="77777777" w:rsidR="00435CF9" w:rsidRPr="006C6DDE" w:rsidRDefault="00435CF9" w:rsidP="00435CF9">
      <w:pPr>
        <w:spacing w:after="200" w:line="276" w:lineRule="auto"/>
        <w:ind w:left="360"/>
        <w:jc w:val="both"/>
        <w:rPr>
          <w:rFonts w:ascii="Times New Roman" w:hAnsi="Times New Roman"/>
          <w:sz w:val="22"/>
          <w:szCs w:val="22"/>
          <w:u w:val="wave"/>
        </w:rPr>
      </w:pPr>
      <w:r w:rsidRPr="006C6DDE">
        <w:rPr>
          <w:rFonts w:ascii="Times New Roman" w:hAnsi="Times New Roman"/>
          <w:b/>
          <w:color w:val="FF0000"/>
          <w:sz w:val="22"/>
          <w:szCs w:val="22"/>
          <w:u w:val="double"/>
        </w:rPr>
        <w:t xml:space="preserve">Note:  </w:t>
      </w:r>
      <w:r w:rsidRPr="0080618D">
        <w:rPr>
          <w:rFonts w:ascii="Times New Roman" w:hAnsi="Times New Roman"/>
          <w:b/>
          <w:color w:val="FF0000"/>
          <w:sz w:val="22"/>
          <w:szCs w:val="22"/>
          <w:u w:val="double"/>
        </w:rPr>
        <w:t>Due to the COVID-19 pandemic, the 133</w:t>
      </w:r>
      <w:r w:rsidRPr="0080618D">
        <w:rPr>
          <w:rFonts w:ascii="Times New Roman" w:hAnsi="Times New Roman"/>
          <w:b/>
          <w:color w:val="FF0000"/>
          <w:sz w:val="22"/>
          <w:szCs w:val="22"/>
          <w:u w:val="double"/>
          <w:vertAlign w:val="superscript"/>
        </w:rPr>
        <w:t>rd</w:t>
      </w:r>
      <w:r w:rsidRPr="0080618D">
        <w:rPr>
          <w:rFonts w:ascii="Times New Roman" w:hAnsi="Times New Roman"/>
          <w:b/>
          <w:color w:val="FF0000"/>
          <w:sz w:val="22"/>
          <w:szCs w:val="22"/>
          <w:u w:val="double"/>
        </w:rPr>
        <w:t xml:space="preserve"> GA, </w:t>
      </w:r>
      <w:proofErr w:type="spellStart"/>
      <w:r w:rsidRPr="0080618D">
        <w:rPr>
          <w:rFonts w:ascii="Times New Roman" w:hAnsi="Times New Roman"/>
          <w:b/>
          <w:color w:val="FF0000"/>
          <w:sz w:val="22"/>
          <w:szCs w:val="22"/>
          <w:u w:val="double"/>
        </w:rPr>
        <w:t>H.B</w:t>
      </w:r>
      <w:proofErr w:type="spellEnd"/>
      <w:r w:rsidRPr="0080618D">
        <w:rPr>
          <w:rFonts w:ascii="Times New Roman" w:hAnsi="Times New Roman"/>
          <w:b/>
          <w:color w:val="FF0000"/>
          <w:sz w:val="22"/>
          <w:szCs w:val="22"/>
          <w:u w:val="double"/>
        </w:rPr>
        <w:t xml:space="preserve">. </w:t>
      </w:r>
      <w:r>
        <w:rPr>
          <w:rFonts w:ascii="Times New Roman" w:hAnsi="Times New Roman"/>
          <w:b/>
          <w:color w:val="FF0000"/>
          <w:sz w:val="22"/>
          <w:szCs w:val="22"/>
          <w:u w:val="double"/>
        </w:rPr>
        <w:t>409, as amended by the 134</w:t>
      </w:r>
      <w:r w:rsidRPr="006C6DDE">
        <w:rPr>
          <w:rFonts w:ascii="Times New Roman" w:hAnsi="Times New Roman"/>
          <w:b/>
          <w:color w:val="FF0000"/>
          <w:sz w:val="22"/>
          <w:szCs w:val="22"/>
          <w:u w:val="double"/>
          <w:vertAlign w:val="superscript"/>
        </w:rPr>
        <w:t>th</w:t>
      </w:r>
      <w:r>
        <w:rPr>
          <w:rFonts w:ascii="Times New Roman" w:hAnsi="Times New Roman"/>
          <w:b/>
          <w:color w:val="FF0000"/>
          <w:sz w:val="22"/>
          <w:szCs w:val="22"/>
          <w:u w:val="double"/>
        </w:rPr>
        <w:t xml:space="preserve"> GA, </w:t>
      </w:r>
      <w:proofErr w:type="spellStart"/>
      <w:r>
        <w:rPr>
          <w:rFonts w:ascii="Times New Roman" w:hAnsi="Times New Roman"/>
          <w:b/>
          <w:color w:val="FF0000"/>
          <w:sz w:val="22"/>
          <w:szCs w:val="22"/>
          <w:u w:val="double"/>
        </w:rPr>
        <w:t>H.B</w:t>
      </w:r>
      <w:proofErr w:type="spellEnd"/>
      <w:r>
        <w:rPr>
          <w:rFonts w:ascii="Times New Roman" w:hAnsi="Times New Roman"/>
          <w:b/>
          <w:color w:val="FF0000"/>
          <w:sz w:val="22"/>
          <w:szCs w:val="22"/>
          <w:u w:val="double"/>
        </w:rPr>
        <w:t>. 67</w:t>
      </w:r>
      <w:r w:rsidRPr="0080618D">
        <w:rPr>
          <w:rFonts w:ascii="Times New Roman" w:hAnsi="Times New Roman"/>
          <w:b/>
          <w:color w:val="FF0000"/>
          <w:sz w:val="22"/>
          <w:szCs w:val="22"/>
          <w:u w:val="double"/>
        </w:rPr>
        <w:t xml:space="preserve"> prohibits ODE from</w:t>
      </w:r>
      <w:r>
        <w:rPr>
          <w:rFonts w:ascii="Times New Roman" w:hAnsi="Times New Roman"/>
          <w:b/>
          <w:color w:val="FF0000"/>
          <w:sz w:val="22"/>
          <w:szCs w:val="22"/>
          <w:u w:val="double"/>
        </w:rPr>
        <w:t xml:space="preserve"> publishing state report card ratings for </w:t>
      </w:r>
      <w:proofErr w:type="gramStart"/>
      <w:r>
        <w:rPr>
          <w:rFonts w:ascii="Times New Roman" w:hAnsi="Times New Roman"/>
          <w:b/>
          <w:color w:val="FF0000"/>
          <w:sz w:val="22"/>
          <w:szCs w:val="22"/>
          <w:u w:val="double"/>
        </w:rPr>
        <w:t>Fy</w:t>
      </w:r>
      <w:proofErr w:type="gramEnd"/>
      <w:r>
        <w:rPr>
          <w:rFonts w:ascii="Times New Roman" w:hAnsi="Times New Roman"/>
          <w:b/>
          <w:color w:val="FF0000"/>
          <w:sz w:val="22"/>
          <w:szCs w:val="22"/>
          <w:u w:val="double"/>
        </w:rPr>
        <w:t xml:space="preserve"> 2021.</w:t>
      </w:r>
    </w:p>
    <w:p w14:paraId="0AB5AD0D" w14:textId="77777777" w:rsidR="00013F1A" w:rsidRDefault="00013F1A" w:rsidP="00013F1A">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July 1: Sponsor and school complete and </w:t>
      </w:r>
      <w:r>
        <w:rPr>
          <w:rFonts w:ascii="Times New Roman" w:hAnsi="Times New Roman"/>
          <w:sz w:val="22"/>
          <w:szCs w:val="22"/>
        </w:rPr>
        <w:t xml:space="preserve">submit the completed application.  </w:t>
      </w:r>
    </w:p>
    <w:p w14:paraId="76BC6FC3" w14:textId="77777777" w:rsidR="00013F1A" w:rsidRPr="007C5D94" w:rsidRDefault="00013F1A" w:rsidP="00013F1A">
      <w:pPr>
        <w:pStyle w:val="ListParagraph"/>
        <w:numPr>
          <w:ilvl w:val="0"/>
          <w:numId w:val="57"/>
        </w:numPr>
        <w:spacing w:line="276" w:lineRule="auto"/>
        <w:ind w:left="1800"/>
        <w:jc w:val="both"/>
        <w:rPr>
          <w:rFonts w:ascii="Times New Roman" w:hAnsi="Times New Roman"/>
          <w:sz w:val="22"/>
          <w:szCs w:val="22"/>
        </w:rPr>
      </w:pPr>
      <w:r w:rsidRPr="007C5D94">
        <w:rPr>
          <w:rFonts w:ascii="Times New Roman" w:hAnsi="Times New Roman"/>
          <w:sz w:val="22"/>
          <w:szCs w:val="22"/>
        </w:rPr>
        <w:t>If the community school was approved for the DOPR designation for the prior year, they are not required to resubmit all attachments with the application if there were n</w:t>
      </w:r>
      <w:r>
        <w:rPr>
          <w:rFonts w:ascii="Times New Roman" w:hAnsi="Times New Roman"/>
          <w:sz w:val="22"/>
          <w:szCs w:val="22"/>
        </w:rPr>
        <w:t>o changes to the DOPR program; they are only required to complete the signature/affirmation pages of the application.</w:t>
      </w:r>
    </w:p>
    <w:p w14:paraId="361873D7" w14:textId="77777777" w:rsidR="00013F1A" w:rsidRDefault="00013F1A" w:rsidP="00FE4EC0">
      <w:pPr>
        <w:pStyle w:val="ListParagraph"/>
        <w:numPr>
          <w:ilvl w:val="0"/>
          <w:numId w:val="56"/>
        </w:numPr>
        <w:jc w:val="both"/>
        <w:rPr>
          <w:rFonts w:ascii="Times New Roman" w:hAnsi="Times New Roman"/>
          <w:sz w:val="22"/>
          <w:szCs w:val="22"/>
        </w:rPr>
      </w:pPr>
      <w:r w:rsidRPr="007C5D94">
        <w:rPr>
          <w:rFonts w:ascii="Times New Roman" w:hAnsi="Times New Roman"/>
          <w:sz w:val="22"/>
          <w:szCs w:val="22"/>
        </w:rPr>
        <w:t>If there were changes, the community school must include updated documentation w</w:t>
      </w:r>
      <w:r>
        <w:rPr>
          <w:rFonts w:ascii="Times New Roman" w:hAnsi="Times New Roman"/>
          <w:sz w:val="22"/>
          <w:szCs w:val="22"/>
        </w:rPr>
        <w:t>ith the completed application.</w:t>
      </w:r>
    </w:p>
    <w:p w14:paraId="6320DD70" w14:textId="77777777" w:rsidR="00013F1A" w:rsidRDefault="00013F1A" w:rsidP="00FE4EC0">
      <w:pPr>
        <w:pStyle w:val="ListParagraph"/>
        <w:ind w:left="1800"/>
        <w:jc w:val="both"/>
        <w:rPr>
          <w:rFonts w:ascii="Times New Roman" w:hAnsi="Times New Roman"/>
          <w:sz w:val="22"/>
          <w:szCs w:val="22"/>
        </w:rPr>
      </w:pPr>
    </w:p>
    <w:p w14:paraId="7EDC05D3" w14:textId="77777777" w:rsidR="00013F1A" w:rsidRPr="00F60F81" w:rsidRDefault="00013F1A" w:rsidP="00FE4EC0">
      <w:pPr>
        <w:spacing w:after="200"/>
        <w:ind w:left="360"/>
        <w:jc w:val="both"/>
        <w:rPr>
          <w:rFonts w:ascii="Times New Roman" w:hAnsi="Times New Roman"/>
          <w:sz w:val="22"/>
          <w:szCs w:val="22"/>
        </w:rPr>
      </w:pPr>
      <w:r w:rsidRPr="00F60F81">
        <w:rPr>
          <w:rFonts w:ascii="Times New Roman" w:hAnsi="Times New Roman"/>
          <w:sz w:val="22"/>
          <w:szCs w:val="22"/>
        </w:rPr>
        <w:t>July</w:t>
      </w:r>
      <w:r>
        <w:rPr>
          <w:rFonts w:ascii="Times New Roman" w:hAnsi="Times New Roman"/>
          <w:sz w:val="22"/>
          <w:szCs w:val="22"/>
        </w:rPr>
        <w:t xml:space="preserve"> </w:t>
      </w:r>
      <w:r w:rsidRPr="00F60F81">
        <w:rPr>
          <w:rFonts w:ascii="Times New Roman" w:hAnsi="Times New Roman"/>
          <w:sz w:val="22"/>
          <w:szCs w:val="22"/>
        </w:rPr>
        <w:t xml:space="preserve">1:  Community schools no longer seeking the Dropout Prevention and Recovery report card designation must notify Ohio Department of Education </w:t>
      </w:r>
      <w:r>
        <w:rPr>
          <w:rFonts w:ascii="Times New Roman" w:hAnsi="Times New Roman"/>
          <w:sz w:val="22"/>
          <w:szCs w:val="22"/>
        </w:rPr>
        <w:t xml:space="preserve">(ODE) </w:t>
      </w:r>
      <w:r w:rsidRPr="00F60F81">
        <w:rPr>
          <w:rFonts w:ascii="Times New Roman" w:hAnsi="Times New Roman"/>
          <w:sz w:val="22"/>
          <w:szCs w:val="22"/>
        </w:rPr>
        <w:t>in writing prior to the start of the new academic year</w:t>
      </w:r>
      <w:r>
        <w:rPr>
          <w:rFonts w:ascii="Times New Roman" w:hAnsi="Times New Roman"/>
          <w:sz w:val="22"/>
          <w:szCs w:val="22"/>
        </w:rPr>
        <w:t>.</w:t>
      </w:r>
    </w:p>
    <w:p w14:paraId="59D85E52" w14:textId="77777777" w:rsidR="00013F1A" w:rsidRPr="00F60F81" w:rsidRDefault="00013F1A" w:rsidP="00FE4EC0">
      <w:pPr>
        <w:spacing w:after="200"/>
        <w:ind w:left="360"/>
        <w:jc w:val="both"/>
        <w:rPr>
          <w:rFonts w:ascii="Times New Roman" w:hAnsi="Times New Roman"/>
          <w:sz w:val="22"/>
          <w:szCs w:val="22"/>
        </w:rPr>
      </w:pPr>
      <w:r w:rsidRPr="00F60F81">
        <w:rPr>
          <w:rFonts w:ascii="Times New Roman" w:hAnsi="Times New Roman"/>
          <w:sz w:val="22"/>
          <w:szCs w:val="22"/>
        </w:rPr>
        <w:t xml:space="preserve">August 15:  Sponsor and school will receive a decision from </w:t>
      </w:r>
      <w:r>
        <w:rPr>
          <w:rFonts w:ascii="Times New Roman" w:hAnsi="Times New Roman"/>
          <w:sz w:val="22"/>
          <w:szCs w:val="22"/>
        </w:rPr>
        <w:t xml:space="preserve">ODE </w:t>
      </w:r>
      <w:r w:rsidRPr="00F60F81">
        <w:rPr>
          <w:rFonts w:ascii="Times New Roman" w:hAnsi="Times New Roman"/>
          <w:sz w:val="22"/>
          <w:szCs w:val="22"/>
        </w:rPr>
        <w:t xml:space="preserve">on the status of application.  </w:t>
      </w:r>
    </w:p>
    <w:p w14:paraId="5CA75491" w14:textId="51F69B23" w:rsidR="00013F1A" w:rsidRPr="00954D3F" w:rsidRDefault="00013F1A" w:rsidP="00FE4EC0">
      <w:pPr>
        <w:spacing w:after="200"/>
        <w:ind w:left="360"/>
        <w:jc w:val="both"/>
        <w:rPr>
          <w:rFonts w:ascii="Times New Roman" w:hAnsi="Times New Roman"/>
          <w:sz w:val="22"/>
          <w:szCs w:val="22"/>
        </w:rPr>
      </w:pPr>
      <w:r w:rsidRPr="00F60F81">
        <w:rPr>
          <w:rFonts w:ascii="Times New Roman" w:hAnsi="Times New Roman"/>
          <w:sz w:val="22"/>
          <w:szCs w:val="22"/>
        </w:rPr>
        <w:t xml:space="preserve">Ten business days prior to the first day of instruction:  </w:t>
      </w:r>
      <w:r w:rsidR="00954D3F" w:rsidRPr="00954D3F">
        <w:rPr>
          <w:rFonts w:ascii="Times New Roman" w:hAnsi="Times New Roman"/>
          <w:sz w:val="22"/>
          <w:szCs w:val="22"/>
          <w:u w:val="double"/>
        </w:rPr>
        <w:t>For schools</w:t>
      </w:r>
      <w:r w:rsidR="00954D3F">
        <w:rPr>
          <w:rFonts w:ascii="Times New Roman" w:hAnsi="Times New Roman"/>
          <w:sz w:val="22"/>
          <w:szCs w:val="22"/>
          <w:u w:val="double"/>
        </w:rPr>
        <w:t xml:space="preserve"> in</w:t>
      </w:r>
      <w:r w:rsidR="00BC78A3">
        <w:rPr>
          <w:rFonts w:ascii="Times New Roman" w:hAnsi="Times New Roman"/>
          <w:sz w:val="22"/>
          <w:szCs w:val="22"/>
          <w:u w:val="double"/>
        </w:rPr>
        <w:t xml:space="preserve"> their first year of operations, or schools that are not</w:t>
      </w:r>
      <w:r w:rsidR="00954D3F" w:rsidRPr="00954D3F">
        <w:rPr>
          <w:rFonts w:ascii="Times New Roman" w:hAnsi="Times New Roman"/>
          <w:sz w:val="22"/>
          <w:szCs w:val="22"/>
          <w:u w:val="double"/>
        </w:rPr>
        <w:t xml:space="preserve"> e-school</w:t>
      </w:r>
      <w:r w:rsidR="00BC78A3">
        <w:rPr>
          <w:rFonts w:ascii="Times New Roman" w:hAnsi="Times New Roman"/>
          <w:sz w:val="22"/>
          <w:szCs w:val="22"/>
          <w:u w:val="double"/>
        </w:rPr>
        <w:t>s and</w:t>
      </w:r>
      <w:r w:rsidR="00954D3F" w:rsidRPr="00954D3F">
        <w:rPr>
          <w:rFonts w:ascii="Times New Roman" w:hAnsi="Times New Roman"/>
          <w:sz w:val="22"/>
          <w:szCs w:val="22"/>
          <w:u w:val="double"/>
        </w:rPr>
        <w:t xml:space="preserve"> changed buildings</w:t>
      </w:r>
      <w:r w:rsidR="00954D3F">
        <w:rPr>
          <w:rFonts w:ascii="Times New Roman" w:hAnsi="Times New Roman"/>
          <w:sz w:val="22"/>
          <w:szCs w:val="22"/>
        </w:rPr>
        <w:t>, s</w:t>
      </w:r>
      <w:r w:rsidRPr="00F60F81">
        <w:rPr>
          <w:rFonts w:ascii="Times New Roman" w:hAnsi="Times New Roman"/>
          <w:sz w:val="22"/>
          <w:szCs w:val="22"/>
        </w:rPr>
        <w:t xml:space="preserve">ponsors must submit </w:t>
      </w:r>
      <w:hyperlink r:id="rId19" w:history="1">
        <w:r w:rsidRPr="0022129F">
          <w:rPr>
            <w:rStyle w:val="Hyperlink"/>
            <w:rFonts w:ascii="Times New Roman" w:hAnsi="Times New Roman"/>
            <w:sz w:val="22"/>
            <w:szCs w:val="22"/>
          </w:rPr>
          <w:t xml:space="preserve">opening assurances </w:t>
        </w:r>
      </w:hyperlink>
      <w:r w:rsidRPr="00F60F81">
        <w:rPr>
          <w:rFonts w:ascii="Times New Roman" w:hAnsi="Times New Roman"/>
          <w:sz w:val="22"/>
          <w:szCs w:val="22"/>
        </w:rPr>
        <w:t>indicating the community school has met</w:t>
      </w:r>
      <w:r>
        <w:rPr>
          <w:rFonts w:ascii="Times New Roman" w:hAnsi="Times New Roman"/>
          <w:sz w:val="22"/>
          <w:szCs w:val="22"/>
        </w:rPr>
        <w:t xml:space="preserve"> </w:t>
      </w:r>
      <w:r w:rsidRPr="00F60F81">
        <w:rPr>
          <w:rFonts w:ascii="Times New Roman" w:hAnsi="Times New Roman"/>
          <w:sz w:val="22"/>
          <w:szCs w:val="22"/>
        </w:rPr>
        <w:t>al</w:t>
      </w:r>
      <w:r>
        <w:rPr>
          <w:rFonts w:ascii="Times New Roman" w:hAnsi="Times New Roman"/>
          <w:sz w:val="22"/>
          <w:szCs w:val="22"/>
        </w:rPr>
        <w:t>l</w:t>
      </w:r>
      <w:r w:rsidRPr="00F60F81">
        <w:rPr>
          <w:rFonts w:ascii="Times New Roman" w:hAnsi="Times New Roman"/>
          <w:sz w:val="22"/>
          <w:szCs w:val="22"/>
        </w:rPr>
        <w:t xml:space="preserve"> the requirements of the Dropout Prevention and </w:t>
      </w:r>
      <w:r>
        <w:rPr>
          <w:rFonts w:ascii="Times New Roman" w:hAnsi="Times New Roman"/>
          <w:sz w:val="22"/>
          <w:szCs w:val="22"/>
        </w:rPr>
        <w:t>Recovery school.</w:t>
      </w:r>
      <w:r w:rsidRPr="00F60F81">
        <w:rPr>
          <w:rFonts w:ascii="Times New Roman" w:hAnsi="Times New Roman"/>
          <w:b/>
          <w:sz w:val="22"/>
          <w:szCs w:val="22"/>
        </w:rPr>
        <w:t xml:space="preserve"> </w:t>
      </w:r>
      <w:r w:rsidR="00954D3F">
        <w:rPr>
          <w:rFonts w:ascii="Times New Roman" w:hAnsi="Times New Roman"/>
          <w:b/>
          <w:sz w:val="22"/>
          <w:szCs w:val="22"/>
        </w:rPr>
        <w:t xml:space="preserve"> </w:t>
      </w:r>
    </w:p>
    <w:p w14:paraId="30B7424A" w14:textId="57BC9E0C" w:rsidR="00D80C6A" w:rsidRDefault="00A36D21" w:rsidP="00D80C6A">
      <w:pPr>
        <w:spacing w:after="200" w:line="276" w:lineRule="auto"/>
        <w:ind w:left="360"/>
        <w:jc w:val="both"/>
        <w:rPr>
          <w:rStyle w:val="Hyperlink"/>
          <w:rFonts w:ascii="Times New Roman" w:hAnsi="Times New Roman"/>
          <w:sz w:val="22"/>
          <w:szCs w:val="22"/>
          <w:u w:val="wave"/>
        </w:rPr>
      </w:pPr>
      <w:hyperlink r:id="rId20" w:history="1">
        <w:r w:rsidR="006C15D3" w:rsidRPr="00F87B8F">
          <w:rPr>
            <w:rStyle w:val="Hyperlink"/>
            <w:rFonts w:ascii="Times New Roman" w:hAnsi="Times New Roman"/>
            <w:sz w:val="22"/>
            <w:szCs w:val="22"/>
            <w:u w:val="wave"/>
          </w:rPr>
          <w:t>Drop-Out-Prevention-and-Recovery Report Card De</w:t>
        </w:r>
        <w:r w:rsidR="0022129F" w:rsidRPr="00F87B8F">
          <w:rPr>
            <w:rStyle w:val="Hyperlink"/>
            <w:rFonts w:ascii="Times New Roman" w:hAnsi="Times New Roman"/>
            <w:sz w:val="22"/>
            <w:szCs w:val="22"/>
            <w:u w:val="wave"/>
          </w:rPr>
          <w:t>signation Application (2020-2021</w:t>
        </w:r>
        <w:r w:rsidR="006C15D3" w:rsidRPr="00F87B8F">
          <w:rPr>
            <w:rStyle w:val="Hyperlink"/>
            <w:rFonts w:ascii="Times New Roman" w:hAnsi="Times New Roman"/>
            <w:sz w:val="22"/>
            <w:szCs w:val="22"/>
            <w:u w:val="wave"/>
          </w:rPr>
          <w:t>)</w:t>
        </w:r>
        <w:r w:rsidR="00D80C6A" w:rsidRPr="00F87B8F">
          <w:rPr>
            <w:rStyle w:val="Hyperlink"/>
            <w:rFonts w:ascii="Times New Roman" w:hAnsi="Times New Roman"/>
            <w:sz w:val="22"/>
            <w:szCs w:val="22"/>
            <w:u w:val="wave"/>
          </w:rPr>
          <w:t xml:space="preserve"> </w:t>
        </w:r>
      </w:hyperlink>
    </w:p>
    <w:p w14:paraId="0ED09D53" w14:textId="36492FB0" w:rsidR="00013F1A" w:rsidRPr="00F60F81" w:rsidRDefault="00013F1A" w:rsidP="006A2F7C">
      <w:pPr>
        <w:spacing w:after="200" w:line="276" w:lineRule="auto"/>
        <w:jc w:val="both"/>
        <w:rPr>
          <w:rFonts w:ascii="Times New Roman" w:hAnsi="Times New Roman"/>
          <w:sz w:val="22"/>
          <w:szCs w:val="22"/>
        </w:rPr>
      </w:pPr>
      <w:r w:rsidRPr="00F60F81">
        <w:rPr>
          <w:rFonts w:ascii="Times New Roman" w:hAnsi="Times New Roman"/>
          <w:b/>
          <w:sz w:val="22"/>
          <w:szCs w:val="22"/>
        </w:rPr>
        <w:t>Ohio Rev. Code § 3314.017(C)(4)</w:t>
      </w:r>
      <w:r w:rsidRPr="0043033A">
        <w:rPr>
          <w:rFonts w:ascii="Times New Roman" w:hAnsi="Times New Roman"/>
          <w:sz w:val="22"/>
          <w:szCs w:val="22"/>
        </w:rPr>
        <w:t xml:space="preserve"> states</w:t>
      </w:r>
      <w:r w:rsidR="00144436">
        <w:rPr>
          <w:rFonts w:ascii="Times New Roman" w:hAnsi="Times New Roman"/>
          <w:sz w:val="22"/>
          <w:szCs w:val="22"/>
        </w:rPr>
        <w:t>,</w:t>
      </w:r>
      <w:r w:rsidRPr="00F60F81">
        <w:rPr>
          <w:rFonts w:ascii="Times New Roman" w:hAnsi="Times New Roman"/>
          <w:b/>
          <w:sz w:val="22"/>
          <w:szCs w:val="22"/>
        </w:rPr>
        <w:t xml:space="preserve"> </w:t>
      </w:r>
      <w:r w:rsidR="00144436">
        <w:rPr>
          <w:rFonts w:ascii="Times New Roman" w:hAnsi="Times New Roman"/>
          <w:b/>
          <w:sz w:val="22"/>
          <w:szCs w:val="22"/>
        </w:rPr>
        <w:t>“</w:t>
      </w:r>
      <w:r w:rsidRPr="00F60F81">
        <w:rPr>
          <w:rFonts w:ascii="Times New Roman" w:hAnsi="Times New Roman"/>
          <w:sz w:val="22"/>
          <w:szCs w:val="22"/>
        </w:rPr>
        <w:t>growth in student achievement in reading, or mathematics, or both as measured by separate nationally norm-referenced assessments that have developed appropriate standards for students enrolled in dropout prevention and recovery programs, adopted or approved by the state board.</w:t>
      </w:r>
      <w:r w:rsidR="00144436">
        <w:rPr>
          <w:rFonts w:ascii="Times New Roman" w:hAnsi="Times New Roman"/>
          <w:sz w:val="22"/>
          <w:szCs w:val="22"/>
        </w:rPr>
        <w:t>”</w:t>
      </w:r>
      <w:r w:rsidRPr="00F60F81">
        <w:rPr>
          <w:rFonts w:ascii="Times New Roman" w:hAnsi="Times New Roman"/>
          <w:sz w:val="22"/>
          <w:szCs w:val="22"/>
        </w:rPr>
        <w:t xml:space="preserve"> </w:t>
      </w:r>
    </w:p>
    <w:p w14:paraId="74303159" w14:textId="77777777" w:rsidR="00013F1A" w:rsidRPr="00F60F81" w:rsidRDefault="00013F1A" w:rsidP="00013F1A">
      <w:pPr>
        <w:spacing w:line="276" w:lineRule="auto"/>
        <w:jc w:val="both"/>
        <w:rPr>
          <w:rFonts w:ascii="Times New Roman" w:hAnsi="Times New Roman"/>
          <w:sz w:val="22"/>
          <w:szCs w:val="22"/>
        </w:rPr>
      </w:pPr>
      <w:r w:rsidRPr="00F60F81">
        <w:rPr>
          <w:rFonts w:ascii="Times New Roman" w:hAnsi="Times New Roman"/>
          <w:b/>
          <w:sz w:val="22"/>
          <w:szCs w:val="22"/>
        </w:rPr>
        <w:t xml:space="preserve">Ohio Rev. Code § 3314.017(D) </w:t>
      </w:r>
      <w:r w:rsidRPr="00F60F81">
        <w:rPr>
          <w:rFonts w:ascii="Times New Roman" w:hAnsi="Times New Roman"/>
          <w:sz w:val="22"/>
          <w:szCs w:val="22"/>
        </w:rPr>
        <w:t xml:space="preserve">Based on a school's level of attainment or nonattainment of the expected performance levels and benchmarks for each of the indicators, the department shall rate each school in one of the following categories: </w:t>
      </w:r>
    </w:p>
    <w:p w14:paraId="77E20602"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(a) Exceeds standards; </w:t>
      </w:r>
    </w:p>
    <w:p w14:paraId="350D8379"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(b) Meets standards; </w:t>
      </w:r>
    </w:p>
    <w:p w14:paraId="62797F76"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(c) Does not meet standards.</w:t>
      </w:r>
    </w:p>
    <w:p w14:paraId="06597A18" w14:textId="514362AF" w:rsidR="00382F25" w:rsidRPr="0065163D" w:rsidRDefault="00382F25" w:rsidP="00013F1A">
      <w:pPr>
        <w:autoSpaceDE w:val="0"/>
        <w:autoSpaceDN w:val="0"/>
        <w:adjustRightInd w:val="0"/>
        <w:spacing w:line="276" w:lineRule="auto"/>
        <w:rPr>
          <w:rFonts w:ascii="Times New Roman" w:hAnsi="Times New Roman"/>
          <w:sz w:val="22"/>
          <w:szCs w:val="22"/>
        </w:rPr>
      </w:pPr>
    </w:p>
    <w:p w14:paraId="1E5B778B" w14:textId="39FFA0C9" w:rsidR="00013F1A" w:rsidRPr="00F60F81" w:rsidRDefault="00013F1A" w:rsidP="00013F1A">
      <w:pPr>
        <w:jc w:val="both"/>
        <w:rPr>
          <w:rFonts w:ascii="Times New Roman" w:hAnsi="Times New Roman"/>
          <w:b/>
          <w:sz w:val="22"/>
          <w:szCs w:val="22"/>
        </w:rPr>
      </w:pPr>
      <w:r>
        <w:rPr>
          <w:rFonts w:ascii="Times New Roman" w:hAnsi="Times New Roman"/>
          <w:b/>
          <w:sz w:val="22"/>
          <w:szCs w:val="22"/>
        </w:rPr>
        <w:t>Suggested</w:t>
      </w:r>
      <w:r w:rsidR="006F2811">
        <w:rPr>
          <w:rFonts w:ascii="Times New Roman" w:hAnsi="Times New Roman"/>
          <w:b/>
          <w:sz w:val="22"/>
          <w:szCs w:val="22"/>
        </w:rPr>
        <w:t xml:space="preserve"> Questions and </w:t>
      </w:r>
      <w:r>
        <w:rPr>
          <w:rFonts w:ascii="Times New Roman" w:hAnsi="Times New Roman"/>
          <w:b/>
          <w:sz w:val="22"/>
          <w:szCs w:val="22"/>
        </w:rPr>
        <w:t xml:space="preserve">Procedures - </w:t>
      </w:r>
      <w:r w:rsidRPr="00F60F81">
        <w:rPr>
          <w:rFonts w:ascii="Times New Roman" w:hAnsi="Times New Roman"/>
          <w:b/>
          <w:sz w:val="22"/>
          <w:szCs w:val="22"/>
        </w:rPr>
        <w:t>Compliance (Substantive) Tests:</w:t>
      </w:r>
    </w:p>
    <w:p w14:paraId="3605CE36" w14:textId="77777777" w:rsidR="00013F1A" w:rsidRPr="00F60F81" w:rsidRDefault="00013F1A" w:rsidP="00013F1A">
      <w:pPr>
        <w:jc w:val="both"/>
        <w:rPr>
          <w:rFonts w:ascii="Times New Roman" w:hAnsi="Times New Roman"/>
          <w:sz w:val="22"/>
          <w:szCs w:val="22"/>
        </w:rPr>
      </w:pPr>
    </w:p>
    <w:p w14:paraId="2482AC48" w14:textId="4FF8DB1F" w:rsidR="00144436" w:rsidRDefault="00144436" w:rsidP="00144436">
      <w:pPr>
        <w:pStyle w:val="ListParagraph"/>
        <w:numPr>
          <w:ilvl w:val="0"/>
          <w:numId w:val="36"/>
        </w:numPr>
        <w:ind w:left="360"/>
        <w:jc w:val="both"/>
        <w:rPr>
          <w:rFonts w:ascii="Times New Roman" w:hAnsi="Times New Roman"/>
          <w:sz w:val="22"/>
          <w:szCs w:val="22"/>
        </w:rPr>
      </w:pPr>
      <w:r>
        <w:rPr>
          <w:rFonts w:ascii="Times New Roman" w:hAnsi="Times New Roman"/>
          <w:sz w:val="22"/>
          <w:szCs w:val="22"/>
        </w:rPr>
        <w:t>I</w:t>
      </w:r>
      <w:r w:rsidRPr="00F60F81">
        <w:rPr>
          <w:rFonts w:ascii="Times New Roman" w:hAnsi="Times New Roman"/>
          <w:sz w:val="22"/>
          <w:szCs w:val="22"/>
        </w:rPr>
        <w:t xml:space="preserve">nquire </w:t>
      </w:r>
      <w:r>
        <w:rPr>
          <w:rFonts w:ascii="Times New Roman" w:hAnsi="Times New Roman"/>
          <w:sz w:val="22"/>
          <w:szCs w:val="22"/>
        </w:rPr>
        <w:t xml:space="preserve">with the community school management or sponsor about </w:t>
      </w:r>
      <w:r w:rsidRPr="00F60F81">
        <w:rPr>
          <w:rFonts w:ascii="Times New Roman" w:hAnsi="Times New Roman"/>
          <w:sz w:val="22"/>
          <w:szCs w:val="22"/>
        </w:rPr>
        <w:t>whether</w:t>
      </w:r>
      <w:r>
        <w:rPr>
          <w:rFonts w:ascii="Times New Roman" w:hAnsi="Times New Roman"/>
          <w:sz w:val="22"/>
          <w:szCs w:val="22"/>
        </w:rPr>
        <w:t xml:space="preserve"> the community school was</w:t>
      </w:r>
      <w:r w:rsidRPr="00F60F81">
        <w:rPr>
          <w:rFonts w:ascii="Times New Roman" w:hAnsi="Times New Roman"/>
          <w:sz w:val="22"/>
          <w:szCs w:val="22"/>
        </w:rPr>
        <w:t xml:space="preserve"> designated as a Dropout</w:t>
      </w:r>
      <w:r>
        <w:rPr>
          <w:rFonts w:ascii="Times New Roman" w:hAnsi="Times New Roman"/>
          <w:sz w:val="22"/>
          <w:szCs w:val="22"/>
        </w:rPr>
        <w:t xml:space="preserve"> Prevention and Recovery School for the audit period,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w:t>
      </w:r>
      <w:r w:rsidRPr="0088492F">
        <w:rPr>
          <w:rFonts w:ascii="Times New Roman" w:hAnsi="Times New Roman"/>
          <w:sz w:val="22"/>
          <w:szCs w:val="22"/>
        </w:rPr>
        <w:t>.</w:t>
      </w:r>
      <w:r>
        <w:rPr>
          <w:rFonts w:ascii="Times New Roman" w:hAnsi="Times New Roman"/>
          <w:sz w:val="22"/>
          <w:szCs w:val="22"/>
        </w:rPr>
        <w:t xml:space="preserve">  (Note:  ODE’s Community School Directory contains </w:t>
      </w:r>
      <w:r w:rsidRPr="00F811C1">
        <w:rPr>
          <w:rFonts w:ascii="Times New Roman" w:hAnsi="Times New Roman"/>
          <w:i/>
          <w:sz w:val="22"/>
          <w:szCs w:val="22"/>
        </w:rPr>
        <w:t>current</w:t>
      </w:r>
      <w:r>
        <w:rPr>
          <w:rFonts w:ascii="Times New Roman" w:hAnsi="Times New Roman"/>
          <w:sz w:val="22"/>
          <w:szCs w:val="22"/>
        </w:rPr>
        <w:t xml:space="preserve"> school year information, and therefore cannot be used for this step.)</w:t>
      </w:r>
    </w:p>
    <w:p w14:paraId="44180F36" w14:textId="77777777" w:rsidR="00144436" w:rsidRPr="00F60F81" w:rsidRDefault="00144436" w:rsidP="00144436">
      <w:pPr>
        <w:pStyle w:val="ListParagraph"/>
        <w:ind w:left="360"/>
        <w:jc w:val="both"/>
        <w:rPr>
          <w:rFonts w:ascii="Times New Roman" w:hAnsi="Times New Roman"/>
          <w:sz w:val="22"/>
          <w:szCs w:val="22"/>
        </w:rPr>
      </w:pPr>
    </w:p>
    <w:p w14:paraId="6A0C6846" w14:textId="1D78D0D4"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For Dropout Preven</w:t>
      </w:r>
      <w:r>
        <w:rPr>
          <w:rFonts w:ascii="Times New Roman" w:hAnsi="Times New Roman"/>
          <w:sz w:val="22"/>
          <w:szCs w:val="22"/>
        </w:rPr>
        <w:t>tion and Recovery schools that received the designation</w:t>
      </w:r>
      <w:r w:rsidRPr="00F60F81">
        <w:rPr>
          <w:rFonts w:ascii="Times New Roman" w:hAnsi="Times New Roman"/>
          <w:sz w:val="22"/>
          <w:szCs w:val="22"/>
        </w:rPr>
        <w:t xml:space="preserve">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3301-102-10(A)(3)</w:t>
      </w:r>
      <w:r w:rsidR="00134CE7">
        <w:rPr>
          <w:rFonts w:ascii="Times New Roman" w:hAnsi="Times New Roman"/>
          <w:b/>
          <w:sz w:val="22"/>
          <w:szCs w:val="22"/>
        </w:rPr>
        <w:t xml:space="preserve"> </w:t>
      </w:r>
      <w:r w:rsidR="00134CE7">
        <w:rPr>
          <w:rFonts w:ascii="Times New Roman" w:hAnsi="Times New Roman"/>
          <w:sz w:val="22"/>
          <w:szCs w:val="22"/>
        </w:rPr>
        <w:t>(conversion school whose sponsoring district received a waiver)</w:t>
      </w:r>
      <w:r w:rsidRPr="008F5550">
        <w:rPr>
          <w:rFonts w:ascii="Times New Roman" w:hAnsi="Times New Roman"/>
          <w:sz w:val="22"/>
          <w:szCs w:val="22"/>
        </w:rPr>
        <w:t xml:space="preserve">, </w:t>
      </w:r>
      <w:r w:rsidRPr="00F60F81">
        <w:rPr>
          <w:rFonts w:ascii="Times New Roman" w:hAnsi="Times New Roman"/>
          <w:sz w:val="22"/>
          <w:szCs w:val="22"/>
        </w:rPr>
        <w:t>perform the following steps below for the fiscal year(s) under audit:</w:t>
      </w:r>
      <w:r w:rsidR="00B072DA">
        <w:rPr>
          <w:rFonts w:ascii="Times New Roman" w:hAnsi="Times New Roman"/>
          <w:sz w:val="22"/>
          <w:szCs w:val="22"/>
        </w:rPr>
        <w:t xml:space="preserve"> </w:t>
      </w:r>
      <w:r w:rsidR="00B072DA">
        <w:rPr>
          <w:rStyle w:val="FootnoteReference"/>
          <w:rFonts w:ascii="Times New Roman" w:hAnsi="Times New Roman"/>
          <w:sz w:val="22"/>
          <w:szCs w:val="22"/>
        </w:rPr>
        <w:footnoteReference w:id="10"/>
      </w:r>
    </w:p>
    <w:p w14:paraId="79094794" w14:textId="3E82DD4D" w:rsidR="00144436" w:rsidRDefault="00144436"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sidR="00B072DA">
        <w:rPr>
          <w:rStyle w:val="FootnoteReference"/>
          <w:rFonts w:ascii="Times New Roman" w:hAnsi="Times New Roman"/>
          <w:sz w:val="22"/>
          <w:szCs w:val="22"/>
        </w:rPr>
        <w:footnoteReference w:id="11"/>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0BE628" w14:textId="1F353952" w:rsidR="00144436" w:rsidRDefault="00144436"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Inspect ODE’s approval of the application</w:t>
      </w:r>
      <w:r w:rsidR="00134CE7">
        <w:rPr>
          <w:rFonts w:ascii="Times New Roman" w:hAnsi="Times New Roman"/>
          <w:sz w:val="22"/>
          <w:szCs w:val="22"/>
        </w:rPr>
        <w:t>, and related waiver</w:t>
      </w:r>
      <w:r>
        <w:rPr>
          <w:rFonts w:ascii="Times New Roman" w:hAnsi="Times New Roman"/>
          <w:sz w:val="22"/>
          <w:szCs w:val="22"/>
        </w:rPr>
        <w:t>.</w:t>
      </w:r>
    </w:p>
    <w:p w14:paraId="0789943B" w14:textId="358B6F0F" w:rsidR="00144436" w:rsidRDefault="009371B5" w:rsidP="00A36D21">
      <w:pPr>
        <w:pStyle w:val="ListParagraph"/>
        <w:numPr>
          <w:ilvl w:val="1"/>
          <w:numId w:val="36"/>
        </w:numPr>
        <w:ind w:left="720"/>
        <w:jc w:val="both"/>
        <w:rPr>
          <w:rFonts w:ascii="Times New Roman" w:hAnsi="Times New Roman"/>
          <w:sz w:val="22"/>
          <w:szCs w:val="22"/>
        </w:rPr>
      </w:pPr>
      <w:r w:rsidRPr="00D90DC5">
        <w:rPr>
          <w:rFonts w:ascii="Times New Roman" w:hAnsi="Times New Roman"/>
          <w:sz w:val="22"/>
          <w:szCs w:val="22"/>
          <w:u w:val="double"/>
        </w:rPr>
        <w:t>If this is the community schools first year of operations, or if the school changed buildings and this is the first year operating in the new building</w:t>
      </w:r>
      <w:r>
        <w:rPr>
          <w:rFonts w:ascii="Times New Roman" w:hAnsi="Times New Roman"/>
          <w:sz w:val="22"/>
          <w:szCs w:val="22"/>
          <w:u w:val="double"/>
        </w:rPr>
        <w:t>,</w:t>
      </w:r>
      <w:r w:rsidRPr="009371B5">
        <w:rPr>
          <w:rFonts w:ascii="Times New Roman" w:hAnsi="Times New Roman"/>
          <w:sz w:val="22"/>
          <w:szCs w:val="22"/>
        </w:rPr>
        <w:t xml:space="preserve"> i</w:t>
      </w:r>
      <w:r w:rsidR="00144436">
        <w:rPr>
          <w:rFonts w:ascii="Times New Roman" w:hAnsi="Times New Roman"/>
          <w:sz w:val="22"/>
          <w:szCs w:val="22"/>
        </w:rPr>
        <w:t xml:space="preserve">nspect Section III of the school’s annual </w:t>
      </w:r>
      <w:r w:rsidR="00144436" w:rsidRPr="00302B1F">
        <w:rPr>
          <w:rFonts w:ascii="Times New Roman" w:hAnsi="Times New Roman"/>
          <w:sz w:val="22"/>
          <w:szCs w:val="22"/>
        </w:rPr>
        <w:t xml:space="preserve">opening assurances to ODE indicating the community school met all requirements of </w:t>
      </w:r>
      <w:r w:rsidR="00144436">
        <w:rPr>
          <w:rFonts w:ascii="Times New Roman" w:hAnsi="Times New Roman"/>
          <w:sz w:val="22"/>
          <w:szCs w:val="22"/>
        </w:rPr>
        <w:t xml:space="preserve">a </w:t>
      </w:r>
      <w:r w:rsidR="00144436" w:rsidRPr="00302B1F">
        <w:rPr>
          <w:rFonts w:ascii="Times New Roman" w:hAnsi="Times New Roman"/>
          <w:sz w:val="22"/>
          <w:szCs w:val="22"/>
        </w:rPr>
        <w:t>Dropout</w:t>
      </w:r>
      <w:r w:rsidR="00144436">
        <w:rPr>
          <w:rFonts w:ascii="Times New Roman" w:hAnsi="Times New Roman"/>
          <w:sz w:val="22"/>
          <w:szCs w:val="22"/>
        </w:rPr>
        <w:t xml:space="preserve"> Prevention and Recovery school.</w:t>
      </w:r>
      <w:r w:rsidR="00144436" w:rsidRPr="00302B1F">
        <w:rPr>
          <w:rFonts w:ascii="Times New Roman" w:hAnsi="Times New Roman"/>
          <w:sz w:val="22"/>
          <w:szCs w:val="22"/>
        </w:rPr>
        <w:t xml:space="preserve"> </w:t>
      </w:r>
    </w:p>
    <w:p w14:paraId="78D99970" w14:textId="77777777" w:rsidR="00144436" w:rsidRPr="00F60F81" w:rsidRDefault="00144436" w:rsidP="00144436">
      <w:pPr>
        <w:pStyle w:val="ListParagraph"/>
        <w:ind w:left="360"/>
        <w:jc w:val="both"/>
        <w:rPr>
          <w:rFonts w:ascii="Times New Roman" w:hAnsi="Times New Roman"/>
          <w:sz w:val="22"/>
          <w:szCs w:val="22"/>
        </w:rPr>
      </w:pPr>
    </w:p>
    <w:p w14:paraId="4EE04949" w14:textId="5629266D"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 xml:space="preserve">For Dropout Prevention and Recovery schools that </w:t>
      </w:r>
      <w:r>
        <w:rPr>
          <w:rFonts w:ascii="Times New Roman" w:hAnsi="Times New Roman"/>
          <w:sz w:val="22"/>
          <w:szCs w:val="22"/>
        </w:rPr>
        <w:t xml:space="preserve">received the designation under </w:t>
      </w:r>
      <w:r w:rsidRPr="00F60F81">
        <w:rPr>
          <w:rFonts w:ascii="Times New Roman" w:hAnsi="Times New Roman"/>
          <w:b/>
          <w:sz w:val="22"/>
          <w:szCs w:val="22"/>
        </w:rPr>
        <w:t>Ohio Admin. Code 3301-102-10(A)(2)</w:t>
      </w:r>
      <w:r w:rsidRPr="00302B1F">
        <w:rPr>
          <w:rFonts w:ascii="Times New Roman" w:hAnsi="Times New Roman"/>
          <w:sz w:val="22"/>
          <w:szCs w:val="22"/>
        </w:rPr>
        <w:t>,</w:t>
      </w:r>
      <w:r w:rsidRPr="00F60F81">
        <w:rPr>
          <w:rFonts w:ascii="Times New Roman" w:hAnsi="Times New Roman"/>
          <w:b/>
          <w:sz w:val="22"/>
          <w:szCs w:val="22"/>
        </w:rPr>
        <w:t xml:space="preserve"> </w:t>
      </w:r>
      <w:r w:rsidRPr="00F60F81">
        <w:rPr>
          <w:rFonts w:ascii="Times New Roman" w:hAnsi="Times New Roman"/>
          <w:sz w:val="22"/>
          <w:szCs w:val="22"/>
        </w:rPr>
        <w:t>perform the following steps below for the fiscal year(s) under audit:</w:t>
      </w:r>
      <w:r>
        <w:rPr>
          <w:rStyle w:val="FootnoteReference"/>
          <w:rFonts w:ascii="Times New Roman" w:hAnsi="Times New Roman"/>
          <w:sz w:val="22"/>
          <w:szCs w:val="22"/>
        </w:rPr>
        <w:footnoteReference w:id="12"/>
      </w:r>
      <w:r w:rsidR="00E766C8">
        <w:rPr>
          <w:rFonts w:ascii="Times New Roman" w:hAnsi="Times New Roman"/>
          <w:sz w:val="22"/>
          <w:szCs w:val="22"/>
        </w:rPr>
        <w:t xml:space="preserve"> </w:t>
      </w:r>
    </w:p>
    <w:p w14:paraId="0D684911" w14:textId="77777777" w:rsidR="00144436" w:rsidRDefault="00144436"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C7D8F4" w14:textId="77777777" w:rsidR="00144436" w:rsidRDefault="00144436"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Inspect ODE’s approval of the application.</w:t>
      </w:r>
    </w:p>
    <w:p w14:paraId="31DB094B" w14:textId="7B3D96D2" w:rsidR="00144436" w:rsidRDefault="009371B5" w:rsidP="00A36D21">
      <w:pPr>
        <w:pStyle w:val="ListParagraph"/>
        <w:numPr>
          <w:ilvl w:val="1"/>
          <w:numId w:val="36"/>
        </w:numPr>
        <w:ind w:left="720"/>
        <w:jc w:val="both"/>
        <w:rPr>
          <w:rFonts w:ascii="Times New Roman" w:hAnsi="Times New Roman"/>
          <w:sz w:val="22"/>
          <w:szCs w:val="22"/>
        </w:rPr>
      </w:pPr>
      <w:r w:rsidRPr="00D90DC5">
        <w:rPr>
          <w:rFonts w:ascii="Times New Roman" w:hAnsi="Times New Roman"/>
          <w:sz w:val="22"/>
          <w:szCs w:val="22"/>
          <w:u w:val="double"/>
        </w:rPr>
        <w:t>If this is the community schools first year of operations, or if the school changed buildings and this is the first year operating in the new building</w:t>
      </w:r>
      <w:r>
        <w:rPr>
          <w:rFonts w:ascii="Times New Roman" w:hAnsi="Times New Roman"/>
          <w:sz w:val="22"/>
          <w:szCs w:val="22"/>
          <w:u w:val="double"/>
        </w:rPr>
        <w:t>,</w:t>
      </w:r>
      <w:r w:rsidRPr="009371B5">
        <w:rPr>
          <w:rFonts w:ascii="Times New Roman" w:hAnsi="Times New Roman"/>
          <w:sz w:val="22"/>
          <w:szCs w:val="22"/>
        </w:rPr>
        <w:t xml:space="preserve"> i</w:t>
      </w:r>
      <w:r w:rsidR="00144436" w:rsidRPr="009371B5">
        <w:rPr>
          <w:rFonts w:ascii="Times New Roman" w:hAnsi="Times New Roman"/>
          <w:sz w:val="22"/>
          <w:szCs w:val="22"/>
        </w:rPr>
        <w:t>n</w:t>
      </w:r>
      <w:r w:rsidR="00144436">
        <w:rPr>
          <w:rFonts w:ascii="Times New Roman" w:hAnsi="Times New Roman"/>
          <w:sz w:val="22"/>
          <w:szCs w:val="22"/>
        </w:rPr>
        <w:t xml:space="preserve">spect Section III of the school’s annual </w:t>
      </w:r>
      <w:r w:rsidR="00144436" w:rsidRPr="00302B1F">
        <w:rPr>
          <w:rFonts w:ascii="Times New Roman" w:hAnsi="Times New Roman"/>
          <w:sz w:val="22"/>
          <w:szCs w:val="22"/>
        </w:rPr>
        <w:t xml:space="preserve">opening </w:t>
      </w:r>
      <w:r w:rsidR="00144436" w:rsidRPr="00302B1F">
        <w:rPr>
          <w:rFonts w:ascii="Times New Roman" w:hAnsi="Times New Roman"/>
          <w:sz w:val="22"/>
          <w:szCs w:val="22"/>
        </w:rPr>
        <w:lastRenderedPageBreak/>
        <w:t xml:space="preserve">assurances to ODE indicating the community school met all requirements of </w:t>
      </w:r>
      <w:r w:rsidR="00144436">
        <w:rPr>
          <w:rFonts w:ascii="Times New Roman" w:hAnsi="Times New Roman"/>
          <w:sz w:val="22"/>
          <w:szCs w:val="22"/>
        </w:rPr>
        <w:t xml:space="preserve">a </w:t>
      </w:r>
      <w:r w:rsidR="00144436" w:rsidRPr="00302B1F">
        <w:rPr>
          <w:rFonts w:ascii="Times New Roman" w:hAnsi="Times New Roman"/>
          <w:sz w:val="22"/>
          <w:szCs w:val="22"/>
        </w:rPr>
        <w:t>Dropout</w:t>
      </w:r>
      <w:r w:rsidR="00144436">
        <w:rPr>
          <w:rFonts w:ascii="Times New Roman" w:hAnsi="Times New Roman"/>
          <w:sz w:val="22"/>
          <w:szCs w:val="22"/>
        </w:rPr>
        <w:t xml:space="preserve"> Prevention and Recovery school.</w:t>
      </w:r>
      <w:r w:rsidR="00144436" w:rsidRPr="00302B1F">
        <w:rPr>
          <w:rFonts w:ascii="Times New Roman" w:hAnsi="Times New Roman"/>
          <w:sz w:val="22"/>
          <w:szCs w:val="22"/>
        </w:rPr>
        <w:t xml:space="preserve"> </w:t>
      </w:r>
    </w:p>
    <w:p w14:paraId="3B005771" w14:textId="78BC43A8" w:rsidR="00144436" w:rsidRPr="00F60F81" w:rsidRDefault="00144436" w:rsidP="00A36D21">
      <w:pPr>
        <w:pStyle w:val="ListParagraph"/>
        <w:numPr>
          <w:ilvl w:val="1"/>
          <w:numId w:val="36"/>
        </w:numPr>
        <w:ind w:left="720"/>
        <w:jc w:val="both"/>
        <w:rPr>
          <w:rFonts w:ascii="Times New Roman" w:hAnsi="Times New Roman"/>
          <w:sz w:val="22"/>
          <w:szCs w:val="22"/>
        </w:rPr>
      </w:pPr>
      <w:r w:rsidRPr="00F60F81">
        <w:rPr>
          <w:rFonts w:ascii="Times New Roman" w:hAnsi="Times New Roman"/>
          <w:sz w:val="22"/>
          <w:szCs w:val="22"/>
        </w:rPr>
        <w:t xml:space="preserve">Inspect documentation that </w:t>
      </w:r>
      <w:r w:rsidRPr="00863918">
        <w:rPr>
          <w:rFonts w:ascii="Times New Roman" w:hAnsi="Times New Roman"/>
          <w:sz w:val="22"/>
          <w:szCs w:val="22"/>
        </w:rPr>
        <w:t>more than</w:t>
      </w:r>
      <w:r w:rsidRPr="00F60F81">
        <w:rPr>
          <w:rFonts w:ascii="Times New Roman" w:hAnsi="Times New Roman"/>
          <w:sz w:val="22"/>
          <w:szCs w:val="22"/>
        </w:rPr>
        <w:t xml:space="preserve"> 50 percent of </w:t>
      </w:r>
      <w:r>
        <w:rPr>
          <w:rFonts w:ascii="Times New Roman" w:hAnsi="Times New Roman"/>
          <w:sz w:val="22"/>
          <w:szCs w:val="22"/>
        </w:rPr>
        <w:t>the students were</w:t>
      </w:r>
      <w:r w:rsidRPr="00F60F81">
        <w:rPr>
          <w:rFonts w:ascii="Times New Roman" w:hAnsi="Times New Roman"/>
          <w:sz w:val="22"/>
          <w:szCs w:val="22"/>
        </w:rPr>
        <w:t xml:space="preserve"> enrolled in the dropout prevention and recovery program.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172751AF" w14:textId="3F3126DC" w:rsidR="00144436" w:rsidRPr="00F85F7B" w:rsidRDefault="00144436" w:rsidP="00A36D21">
      <w:pPr>
        <w:pStyle w:val="ListParagraph"/>
        <w:numPr>
          <w:ilvl w:val="1"/>
          <w:numId w:val="36"/>
        </w:numPr>
        <w:ind w:left="720"/>
        <w:jc w:val="both"/>
        <w:rPr>
          <w:rFonts w:ascii="Times New Roman" w:hAnsi="Times New Roman"/>
          <w:sz w:val="22"/>
          <w:szCs w:val="22"/>
        </w:rPr>
      </w:pPr>
      <w:r w:rsidRPr="00F60F81">
        <w:rPr>
          <w:rFonts w:ascii="Times New Roman" w:hAnsi="Times New Roman"/>
          <w:sz w:val="22"/>
          <w:szCs w:val="22"/>
        </w:rPr>
        <w:t xml:space="preserve">Determine that the students enrolled in the dropout prevention and recovery programs are between ages 16 and 21.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66883F77" w14:textId="77777777" w:rsidR="00013F1A" w:rsidRPr="008C167D" w:rsidRDefault="00013F1A"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O</w:t>
      </w:r>
      <w:r w:rsidRPr="00F60F81">
        <w:rPr>
          <w:rFonts w:ascii="Times New Roman" w:hAnsi="Times New Roman"/>
          <w:sz w:val="22"/>
          <w:szCs w:val="22"/>
        </w:rPr>
        <w:t xml:space="preserve">btain documentation on how the school determines that students enrolling in the dropout prevention and recovery program, at the time of their initial </w:t>
      </w:r>
      <w:r>
        <w:rPr>
          <w:rFonts w:ascii="Times New Roman" w:hAnsi="Times New Roman"/>
          <w:sz w:val="22"/>
          <w:szCs w:val="22"/>
        </w:rPr>
        <w:t>enrollment, either, or both, were</w:t>
      </w:r>
      <w:r w:rsidRPr="00F60F81">
        <w:rPr>
          <w:rFonts w:ascii="Times New Roman" w:hAnsi="Times New Roman"/>
          <w:sz w:val="22"/>
          <w:szCs w:val="22"/>
        </w:rPr>
        <w:t xml:space="preserve"> at least one grade level behind their</w:t>
      </w:r>
      <w:r>
        <w:rPr>
          <w:rFonts w:ascii="Times New Roman" w:hAnsi="Times New Roman"/>
          <w:sz w:val="22"/>
          <w:szCs w:val="22"/>
        </w:rPr>
        <w:t xml:space="preserve"> cohort age groups or experienced</w:t>
      </w:r>
      <w:r w:rsidRPr="00F60F81">
        <w:rPr>
          <w:rFonts w:ascii="Times New Roman" w:hAnsi="Times New Roman"/>
          <w:sz w:val="22"/>
          <w:szCs w:val="22"/>
        </w:rPr>
        <w:t xml:space="preserve"> crises that significantly interfere</w:t>
      </w:r>
      <w:r>
        <w:rPr>
          <w:rFonts w:ascii="Times New Roman" w:hAnsi="Times New Roman"/>
          <w:sz w:val="22"/>
          <w:szCs w:val="22"/>
        </w:rPr>
        <w:t>d</w:t>
      </w:r>
      <w:r w:rsidRPr="00F60F81">
        <w:rPr>
          <w:rFonts w:ascii="Times New Roman" w:hAnsi="Times New Roman"/>
          <w:sz w:val="22"/>
          <w:szCs w:val="22"/>
        </w:rPr>
        <w:t xml:space="preserve"> with their academ</w:t>
      </w:r>
      <w:r>
        <w:rPr>
          <w:rFonts w:ascii="Times New Roman" w:hAnsi="Times New Roman"/>
          <w:sz w:val="22"/>
          <w:szCs w:val="22"/>
        </w:rPr>
        <w:t>ic progress such that they were</w:t>
      </w:r>
      <w:r w:rsidRPr="00F60F81">
        <w:rPr>
          <w:rFonts w:ascii="Times New Roman" w:hAnsi="Times New Roman"/>
          <w:sz w:val="22"/>
          <w:szCs w:val="22"/>
        </w:rPr>
        <w:t xml:space="preserve"> prevented from </w:t>
      </w:r>
      <w:r w:rsidRPr="008C167D">
        <w:rPr>
          <w:rFonts w:ascii="Times New Roman" w:hAnsi="Times New Roman"/>
          <w:sz w:val="22"/>
          <w:szCs w:val="22"/>
        </w:rPr>
        <w:t>continuing their traditional programs.</w:t>
      </w:r>
    </w:p>
    <w:p w14:paraId="13F7A4BB" w14:textId="77777777" w:rsidR="00013F1A" w:rsidRPr="008C167D" w:rsidRDefault="00013F1A" w:rsidP="00A36D21">
      <w:pPr>
        <w:pStyle w:val="ListParagraph"/>
        <w:numPr>
          <w:ilvl w:val="1"/>
          <w:numId w:val="36"/>
        </w:numPr>
        <w:ind w:left="720"/>
        <w:jc w:val="both"/>
        <w:rPr>
          <w:rFonts w:ascii="Times New Roman" w:hAnsi="Times New Roman"/>
          <w:sz w:val="22"/>
          <w:szCs w:val="22"/>
        </w:rPr>
      </w:pPr>
      <w:r w:rsidRPr="008C167D">
        <w:rPr>
          <w:rFonts w:ascii="Times New Roman" w:hAnsi="Times New Roman"/>
          <w:sz w:val="22"/>
          <w:szCs w:val="22"/>
        </w:rPr>
        <w:t>Determine what academic assessment is administered at the time of enrollment to determine student’s academic achievement levels.</w:t>
      </w:r>
    </w:p>
    <w:p w14:paraId="1E774E03" w14:textId="1DED08A3" w:rsidR="00013F1A" w:rsidRPr="008C167D" w:rsidRDefault="00013F1A" w:rsidP="00A36D21">
      <w:pPr>
        <w:pStyle w:val="ListParagraph"/>
        <w:numPr>
          <w:ilvl w:val="1"/>
          <w:numId w:val="36"/>
        </w:numPr>
        <w:ind w:left="720"/>
        <w:jc w:val="both"/>
        <w:rPr>
          <w:rFonts w:ascii="Times New Roman" w:hAnsi="Times New Roman"/>
          <w:sz w:val="22"/>
          <w:szCs w:val="22"/>
        </w:rPr>
      </w:pPr>
      <w:r w:rsidRPr="008C167D">
        <w:rPr>
          <w:rFonts w:ascii="Times New Roman" w:hAnsi="Times New Roman"/>
          <w:sz w:val="22"/>
          <w:szCs w:val="22"/>
        </w:rPr>
        <w:t>Inspect documentation describing the program requirements for students to attain the score designated by the state for each of state mandated assessments required for graduation.  Students are required to take the following test/exams – d</w:t>
      </w:r>
      <w:r w:rsidR="00264E0A">
        <w:rPr>
          <w:rFonts w:ascii="Times New Roman" w:hAnsi="Times New Roman"/>
          <w:sz w:val="22"/>
          <w:szCs w:val="22"/>
        </w:rPr>
        <w:t xml:space="preserve">etermine if </w:t>
      </w:r>
      <w:r w:rsidR="00491EF2">
        <w:rPr>
          <w:rFonts w:ascii="Times New Roman" w:hAnsi="Times New Roman"/>
          <w:sz w:val="22"/>
          <w:szCs w:val="22"/>
        </w:rPr>
        <w:t>students completed</w:t>
      </w:r>
      <w:r w:rsidRPr="008C167D">
        <w:rPr>
          <w:rFonts w:ascii="Times New Roman" w:hAnsi="Times New Roman"/>
          <w:sz w:val="22"/>
          <w:szCs w:val="22"/>
        </w:rPr>
        <w:t xml:space="preserve"> </w:t>
      </w:r>
      <w:r w:rsidR="00491EF2">
        <w:rPr>
          <w:rFonts w:ascii="Times New Roman" w:hAnsi="Times New Roman"/>
          <w:sz w:val="22"/>
          <w:szCs w:val="22"/>
        </w:rPr>
        <w:t>the required</w:t>
      </w:r>
      <w:r w:rsidRPr="008C167D">
        <w:rPr>
          <w:rFonts w:ascii="Times New Roman" w:hAnsi="Times New Roman"/>
          <w:sz w:val="22"/>
          <w:szCs w:val="22"/>
        </w:rPr>
        <w:t xml:space="preserve"> test/exams</w:t>
      </w:r>
      <w:r w:rsidR="00491EF2">
        <w:rPr>
          <w:rFonts w:ascii="Times New Roman" w:hAnsi="Times New Roman"/>
          <w:sz w:val="22"/>
          <w:szCs w:val="22"/>
        </w:rPr>
        <w:t>.</w:t>
      </w:r>
      <w:r w:rsidR="009371B5">
        <w:rPr>
          <w:rFonts w:ascii="Times New Roman" w:hAnsi="Times New Roman"/>
          <w:sz w:val="22"/>
          <w:szCs w:val="22"/>
        </w:rPr>
        <w:t xml:space="preserve"> </w:t>
      </w:r>
      <w:r w:rsidR="009371B5">
        <w:rPr>
          <w:rStyle w:val="FootnoteReference"/>
          <w:rFonts w:ascii="Times New Roman" w:hAnsi="Times New Roman"/>
          <w:sz w:val="22"/>
          <w:szCs w:val="22"/>
        </w:rPr>
        <w:footnoteReference w:id="13"/>
      </w:r>
    </w:p>
    <w:p w14:paraId="61F885C8" w14:textId="4A486364" w:rsidR="00013F1A" w:rsidRPr="008C167D" w:rsidRDefault="008D5EC6" w:rsidP="00A36D21">
      <w:pPr>
        <w:pStyle w:val="ListParagraph"/>
        <w:numPr>
          <w:ilvl w:val="2"/>
          <w:numId w:val="36"/>
        </w:numPr>
        <w:ind w:left="1440" w:hanging="360"/>
        <w:jc w:val="both"/>
        <w:rPr>
          <w:rFonts w:ascii="Times New Roman" w:hAnsi="Times New Roman"/>
          <w:sz w:val="22"/>
          <w:szCs w:val="22"/>
        </w:rPr>
      </w:pPr>
      <w:r w:rsidRPr="008C167D">
        <w:rPr>
          <w:rFonts w:ascii="Times New Roman" w:hAnsi="Times New Roman"/>
          <w:sz w:val="22"/>
          <w:szCs w:val="22"/>
        </w:rPr>
        <w:t>Measure of Academic Progress (</w:t>
      </w:r>
      <w:r w:rsidR="00013F1A" w:rsidRPr="008C167D">
        <w:rPr>
          <w:rFonts w:ascii="Times New Roman" w:hAnsi="Times New Roman"/>
          <w:sz w:val="22"/>
          <w:szCs w:val="22"/>
        </w:rPr>
        <w:t>MAP</w:t>
      </w:r>
      <w:r w:rsidRPr="008C167D">
        <w:rPr>
          <w:rFonts w:ascii="Times New Roman" w:hAnsi="Times New Roman"/>
          <w:sz w:val="22"/>
          <w:szCs w:val="22"/>
        </w:rPr>
        <w:t>)</w:t>
      </w:r>
      <w:r w:rsidR="00013F1A" w:rsidRPr="008C167D">
        <w:rPr>
          <w:rFonts w:ascii="Times New Roman" w:hAnsi="Times New Roman"/>
          <w:sz w:val="22"/>
          <w:szCs w:val="22"/>
        </w:rPr>
        <w:t xml:space="preserve"> Assessment (twice a year)</w:t>
      </w:r>
    </w:p>
    <w:p w14:paraId="16312872" w14:textId="1320C800" w:rsidR="00013F1A" w:rsidRPr="008C167D" w:rsidRDefault="00013F1A" w:rsidP="00A36D21">
      <w:pPr>
        <w:pStyle w:val="ListParagraph"/>
        <w:numPr>
          <w:ilvl w:val="2"/>
          <w:numId w:val="36"/>
        </w:numPr>
        <w:ind w:left="1440" w:hanging="360"/>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before July 1, 2014 – Ohio Graduation Test</w:t>
      </w:r>
      <w:r w:rsidR="008D5EC6" w:rsidRPr="008C167D">
        <w:rPr>
          <w:rFonts w:ascii="Times New Roman" w:hAnsi="Times New Roman"/>
          <w:sz w:val="22"/>
          <w:szCs w:val="22"/>
        </w:rPr>
        <w:t xml:space="preserve"> (OGT)</w:t>
      </w:r>
    </w:p>
    <w:p w14:paraId="76E94845" w14:textId="0E0324AA" w:rsidR="00013F1A" w:rsidRDefault="00013F1A" w:rsidP="00A36D21">
      <w:pPr>
        <w:pStyle w:val="ListParagraph"/>
        <w:numPr>
          <w:ilvl w:val="2"/>
          <w:numId w:val="36"/>
        </w:numPr>
        <w:ind w:left="1440" w:hanging="360"/>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on or after July 1, 2014 - Seven end-of-course examinations, one in each of the areas of English language arts I, English language arts II, science, Algebra I, geometry, American history, and American government.</w:t>
      </w:r>
    </w:p>
    <w:p w14:paraId="29A25803" w14:textId="0938D852" w:rsidR="00860726" w:rsidRPr="008B59F5" w:rsidRDefault="00860726" w:rsidP="00A36D21">
      <w:pPr>
        <w:pStyle w:val="ListParagraph"/>
        <w:numPr>
          <w:ilvl w:val="2"/>
          <w:numId w:val="36"/>
        </w:numPr>
        <w:ind w:left="1440" w:hanging="360"/>
        <w:jc w:val="both"/>
        <w:rPr>
          <w:rFonts w:ascii="Times New Roman" w:hAnsi="Times New Roman"/>
          <w:sz w:val="22"/>
          <w:szCs w:val="22"/>
        </w:rPr>
      </w:pPr>
      <w:r w:rsidRPr="008B59F5">
        <w:rPr>
          <w:rFonts w:ascii="Times New Roman" w:hAnsi="Times New Roman"/>
          <w:sz w:val="22"/>
          <w:szCs w:val="22"/>
        </w:rPr>
        <w:t>Students who enter ninth grade for the first time on or after July 1, 2019 – Five end-of-course examinations, one in each areas of English language arts II, science, Algebra I, American history, and American government.  However, only the end-of-course examinations in English language arts II and Algebra I shall be required for graduation.</w:t>
      </w:r>
    </w:p>
    <w:p w14:paraId="6E867B5F" w14:textId="77777777" w:rsidR="00013F1A" w:rsidRPr="00F60F81" w:rsidRDefault="00013F1A"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 xml:space="preserve">Determine that </w:t>
      </w:r>
      <w:r w:rsidRPr="00F60F81">
        <w:rPr>
          <w:rFonts w:ascii="Times New Roman" w:hAnsi="Times New Roman"/>
          <w:sz w:val="22"/>
          <w:szCs w:val="22"/>
        </w:rPr>
        <w:t>Individual Career Plan</w:t>
      </w:r>
      <w:r>
        <w:rPr>
          <w:rFonts w:ascii="Times New Roman" w:hAnsi="Times New Roman"/>
          <w:sz w:val="22"/>
          <w:szCs w:val="22"/>
        </w:rPr>
        <w:t>’s</w:t>
      </w:r>
      <w:r w:rsidRPr="00F60F81">
        <w:rPr>
          <w:rFonts w:ascii="Times New Roman" w:hAnsi="Times New Roman"/>
          <w:sz w:val="22"/>
          <w:szCs w:val="22"/>
        </w:rPr>
        <w:t xml:space="preserve"> (</w:t>
      </w:r>
      <w:proofErr w:type="spellStart"/>
      <w:r w:rsidRPr="00F60F81">
        <w:rPr>
          <w:rFonts w:ascii="Times New Roman" w:hAnsi="Times New Roman"/>
          <w:sz w:val="22"/>
          <w:szCs w:val="22"/>
        </w:rPr>
        <w:t>ICP</w:t>
      </w:r>
      <w:proofErr w:type="spellEnd"/>
      <w:r w:rsidRPr="00F60F81">
        <w:rPr>
          <w:rFonts w:ascii="Times New Roman" w:hAnsi="Times New Roman"/>
          <w:sz w:val="22"/>
          <w:szCs w:val="22"/>
        </w:rPr>
        <w:t>)</w:t>
      </w:r>
      <w:r>
        <w:rPr>
          <w:rFonts w:ascii="Times New Roman" w:hAnsi="Times New Roman"/>
          <w:sz w:val="22"/>
          <w:szCs w:val="22"/>
        </w:rPr>
        <w:t xml:space="preserve"> were developed for students.</w:t>
      </w:r>
      <w:r w:rsidRPr="00F60F81">
        <w:rPr>
          <w:rFonts w:ascii="Times New Roman" w:hAnsi="Times New Roman"/>
          <w:sz w:val="22"/>
          <w:szCs w:val="22"/>
        </w:rPr>
        <w:t xml:space="preserve">  The plan must specify the student enrolling/registering to a two-year degree program, acquiring a business and industry credential</w:t>
      </w:r>
      <w:r>
        <w:rPr>
          <w:rFonts w:ascii="Times New Roman" w:hAnsi="Times New Roman"/>
          <w:sz w:val="22"/>
          <w:szCs w:val="22"/>
        </w:rPr>
        <w:t>,</w:t>
      </w:r>
      <w:r w:rsidRPr="00F60F81">
        <w:rPr>
          <w:rFonts w:ascii="Times New Roman" w:hAnsi="Times New Roman"/>
          <w:sz w:val="22"/>
          <w:szCs w:val="22"/>
        </w:rPr>
        <w:t xml:space="preserve"> or entering into an apprenticeship.</w:t>
      </w:r>
    </w:p>
    <w:p w14:paraId="3837D28A" w14:textId="77777777" w:rsidR="00013F1A" w:rsidRPr="001F4A9F" w:rsidRDefault="00013F1A" w:rsidP="00A36D21">
      <w:pPr>
        <w:pStyle w:val="ListParagraph"/>
        <w:numPr>
          <w:ilvl w:val="1"/>
          <w:numId w:val="36"/>
        </w:numPr>
        <w:ind w:left="720"/>
        <w:jc w:val="both"/>
        <w:rPr>
          <w:rFonts w:ascii="Times New Roman" w:hAnsi="Times New Roman"/>
          <w:sz w:val="22"/>
          <w:szCs w:val="22"/>
        </w:rPr>
      </w:pPr>
      <w:r w:rsidRPr="001F4A9F">
        <w:rPr>
          <w:rFonts w:ascii="Times New Roman" w:hAnsi="Times New Roman"/>
          <w:sz w:val="22"/>
          <w:szCs w:val="22"/>
        </w:rPr>
        <w:t>Inspect documentation that demonstrates how the school provides ongoing counseling and support services for students during the remainder of the high school experience</w:t>
      </w:r>
      <w:r>
        <w:rPr>
          <w:rFonts w:ascii="Times New Roman" w:hAnsi="Times New Roman"/>
          <w:sz w:val="22"/>
          <w:szCs w:val="22"/>
        </w:rPr>
        <w:t xml:space="preserve"> related to the Individual Career P</w:t>
      </w:r>
      <w:r w:rsidRPr="001F4A9F">
        <w:rPr>
          <w:rFonts w:ascii="Times New Roman" w:hAnsi="Times New Roman"/>
          <w:sz w:val="22"/>
          <w:szCs w:val="22"/>
        </w:rPr>
        <w:t>lan described above.</w:t>
      </w:r>
    </w:p>
    <w:p w14:paraId="5094C8AE" w14:textId="31494A35" w:rsidR="00013F1A" w:rsidRPr="00F60F81" w:rsidRDefault="00013F1A" w:rsidP="00A36D21">
      <w:pPr>
        <w:pStyle w:val="ListParagraph"/>
        <w:numPr>
          <w:ilvl w:val="1"/>
          <w:numId w:val="36"/>
        </w:numPr>
        <w:ind w:left="720"/>
        <w:jc w:val="both"/>
        <w:rPr>
          <w:rFonts w:ascii="Times New Roman" w:hAnsi="Times New Roman"/>
          <w:sz w:val="22"/>
          <w:szCs w:val="22"/>
        </w:rPr>
      </w:pPr>
      <w:r>
        <w:rPr>
          <w:rFonts w:ascii="Times New Roman" w:hAnsi="Times New Roman"/>
          <w:sz w:val="22"/>
          <w:szCs w:val="22"/>
        </w:rPr>
        <w:t xml:space="preserve">Determine </w:t>
      </w:r>
      <w:r w:rsidR="00131ADA">
        <w:rPr>
          <w:rFonts w:ascii="Times New Roman" w:hAnsi="Times New Roman"/>
          <w:sz w:val="22"/>
          <w:szCs w:val="22"/>
        </w:rPr>
        <w:t>whether</w:t>
      </w:r>
      <w:r>
        <w:rPr>
          <w:rFonts w:ascii="Times New Roman" w:hAnsi="Times New Roman"/>
          <w:sz w:val="22"/>
          <w:szCs w:val="22"/>
        </w:rPr>
        <w:t xml:space="preserve"> the school has </w:t>
      </w:r>
      <w:r w:rsidR="00131ADA">
        <w:rPr>
          <w:rFonts w:ascii="Times New Roman" w:hAnsi="Times New Roman"/>
          <w:sz w:val="22"/>
          <w:szCs w:val="22"/>
        </w:rPr>
        <w:t xml:space="preserve">developed and completed </w:t>
      </w:r>
      <w:r>
        <w:rPr>
          <w:rFonts w:ascii="Times New Roman" w:hAnsi="Times New Roman"/>
          <w:sz w:val="22"/>
          <w:szCs w:val="22"/>
        </w:rPr>
        <w:t>educational plan</w:t>
      </w:r>
      <w:r w:rsidR="00131ADA">
        <w:rPr>
          <w:rFonts w:ascii="Times New Roman" w:hAnsi="Times New Roman"/>
          <w:sz w:val="22"/>
          <w:szCs w:val="22"/>
        </w:rPr>
        <w:t>s for DOPR students that appear to</w:t>
      </w:r>
      <w:r>
        <w:rPr>
          <w:rFonts w:ascii="Times New Roman" w:hAnsi="Times New Roman"/>
          <w:sz w:val="22"/>
          <w:szCs w:val="22"/>
        </w:rPr>
        <w:t xml:space="preserve"> document</w:t>
      </w:r>
      <w:r w:rsidRPr="00F60F81">
        <w:rPr>
          <w:rFonts w:ascii="Times New Roman" w:hAnsi="Times New Roman"/>
          <w:sz w:val="22"/>
          <w:szCs w:val="22"/>
        </w:rPr>
        <w:t xml:space="preserve"> how the academic standards adopted by the state board of education will be </w:t>
      </w:r>
      <w:r>
        <w:rPr>
          <w:rFonts w:ascii="Times New Roman" w:hAnsi="Times New Roman"/>
          <w:sz w:val="22"/>
          <w:szCs w:val="22"/>
        </w:rPr>
        <w:t>met.</w:t>
      </w:r>
      <w:r w:rsidRPr="00F60F81">
        <w:rPr>
          <w:rFonts w:ascii="Times New Roman" w:hAnsi="Times New Roman"/>
          <w:sz w:val="22"/>
          <w:szCs w:val="22"/>
        </w:rPr>
        <w:t xml:space="preserve">  (An example of this should be included in the school’s contract but may be supported by additional</w:t>
      </w:r>
      <w:r>
        <w:rPr>
          <w:rFonts w:ascii="Times New Roman" w:hAnsi="Times New Roman"/>
          <w:sz w:val="22"/>
          <w:szCs w:val="22"/>
        </w:rPr>
        <w:t xml:space="preserve"> information.</w:t>
      </w:r>
      <w:r w:rsidRPr="00F60F81">
        <w:rPr>
          <w:rFonts w:ascii="Times New Roman" w:hAnsi="Times New Roman"/>
          <w:sz w:val="22"/>
          <w:szCs w:val="22"/>
        </w:rPr>
        <w:t>)</w:t>
      </w:r>
      <w:r w:rsidR="00131ADA">
        <w:rPr>
          <w:rFonts w:ascii="Times New Roman" w:hAnsi="Times New Roman"/>
          <w:sz w:val="22"/>
          <w:szCs w:val="22"/>
        </w:rPr>
        <w:t xml:space="preserve">  Auditors are not expected to review the educational plans for sufficiency.  Rather, auditors should scan student files and educational plans to ensure the community school appears to be completing them.  It is the responsibility of the sponsor to determine the sufficiency of the educational plan’s documentation.</w:t>
      </w:r>
    </w:p>
    <w:p w14:paraId="76E39F2A" w14:textId="77777777" w:rsidR="00013F1A" w:rsidRPr="00AD782B" w:rsidRDefault="00013F1A" w:rsidP="00013F1A">
      <w:pPr>
        <w:jc w:val="both"/>
        <w:rPr>
          <w:rFonts w:ascii="Times New Roman" w:hAnsi="Times New Roman"/>
          <w:sz w:val="22"/>
          <w:szCs w:val="22"/>
        </w:rPr>
      </w:pPr>
    </w:p>
    <w:p w14:paraId="155DF3F0" w14:textId="30D7D998" w:rsidR="00013F1A" w:rsidRDefault="00013F1A" w:rsidP="00013F1A">
      <w:pPr>
        <w:ind w:left="360"/>
        <w:jc w:val="both"/>
        <w:rPr>
          <w:rFonts w:ascii="Times New Roman" w:hAnsi="Times New Roman"/>
          <w:sz w:val="22"/>
          <w:szCs w:val="22"/>
        </w:rPr>
      </w:pPr>
      <w:r w:rsidRPr="00F60F81">
        <w:rPr>
          <w:rFonts w:ascii="Times New Roman" w:hAnsi="Times New Roman"/>
          <w:sz w:val="22"/>
          <w:szCs w:val="22"/>
        </w:rPr>
        <w:t xml:space="preserve">If the Dropout Prevention and Recovery school </w:t>
      </w:r>
      <w:r>
        <w:rPr>
          <w:rFonts w:ascii="Times New Roman" w:hAnsi="Times New Roman"/>
          <w:sz w:val="22"/>
          <w:szCs w:val="22"/>
        </w:rPr>
        <w:t>did not meet</w:t>
      </w:r>
      <w:r w:rsidRPr="00F60F81">
        <w:rPr>
          <w:rFonts w:ascii="Times New Roman" w:hAnsi="Times New Roman"/>
          <w:sz w:val="22"/>
          <w:szCs w:val="22"/>
        </w:rPr>
        <w:t xml:space="preserve"> the </w:t>
      </w:r>
      <w:r>
        <w:rPr>
          <w:rFonts w:ascii="Times New Roman" w:hAnsi="Times New Roman"/>
          <w:sz w:val="22"/>
          <w:szCs w:val="22"/>
        </w:rPr>
        <w:t xml:space="preserve">eligibility </w:t>
      </w:r>
      <w:r w:rsidRPr="00F60F81">
        <w:rPr>
          <w:rFonts w:ascii="Times New Roman" w:hAnsi="Times New Roman"/>
          <w:sz w:val="22"/>
          <w:szCs w:val="22"/>
        </w:rPr>
        <w:t xml:space="preserve">requirements, </w:t>
      </w:r>
      <w:r>
        <w:rPr>
          <w:rFonts w:ascii="Times New Roman" w:hAnsi="Times New Roman"/>
          <w:sz w:val="22"/>
          <w:szCs w:val="22"/>
        </w:rPr>
        <w:t>contact the</w:t>
      </w:r>
      <w:r w:rsidRPr="00E501EE">
        <w:rPr>
          <w:rFonts w:ascii="Times New Roman" w:hAnsi="Times New Roman"/>
          <w:sz w:val="22"/>
          <w:szCs w:val="22"/>
        </w:rPr>
        <w:t xml:space="preserve"> </w:t>
      </w:r>
      <w:r w:rsidR="009519A8">
        <w:rPr>
          <w:rFonts w:ascii="Times New Roman" w:hAnsi="Times New Roman"/>
          <w:sz w:val="22"/>
          <w:szCs w:val="22"/>
        </w:rPr>
        <w:t xml:space="preserve">AOS CFAE </w:t>
      </w:r>
      <w:r w:rsidRPr="00E501EE">
        <w:rPr>
          <w:rFonts w:ascii="Times New Roman" w:hAnsi="Times New Roman"/>
          <w:sz w:val="22"/>
          <w:szCs w:val="22"/>
        </w:rPr>
        <w:t>Community School Specialist.</w:t>
      </w:r>
      <w:r>
        <w:rPr>
          <w:rFonts w:ascii="Times New Roman" w:hAnsi="Times New Roman"/>
          <w:sz w:val="22"/>
          <w:szCs w:val="22"/>
        </w:rPr>
        <w:t xml:space="preserve"> </w:t>
      </w:r>
      <w:r w:rsidR="00131ADA">
        <w:rPr>
          <w:rFonts w:ascii="Times New Roman" w:hAnsi="Times New Roman"/>
          <w:sz w:val="22"/>
          <w:szCs w:val="22"/>
        </w:rPr>
        <w:t xml:space="preserve"> AOS will refer noncompliant community schools to their sponsor and ODE.</w:t>
      </w:r>
    </w:p>
    <w:p w14:paraId="50640465" w14:textId="79B3FDD3" w:rsidR="00013F1A" w:rsidRDefault="00013F1A" w:rsidP="00013F1A">
      <w:pPr>
        <w:ind w:left="360"/>
        <w:jc w:val="both"/>
        <w:rPr>
          <w:rFonts w:ascii="Times New Roman" w:hAnsi="Times New Roman"/>
          <w:sz w:val="22"/>
          <w:szCs w:val="22"/>
        </w:rPr>
      </w:pPr>
    </w:p>
    <w:p w14:paraId="091D762D" w14:textId="1A26D490" w:rsidR="0065163D" w:rsidRDefault="0065163D" w:rsidP="00013F1A">
      <w:pPr>
        <w:ind w:left="360"/>
        <w:jc w:val="both"/>
        <w:rPr>
          <w:rFonts w:ascii="Times New Roman" w:hAnsi="Times New Roman"/>
          <w:sz w:val="22"/>
          <w:szCs w:val="22"/>
        </w:rPr>
      </w:pPr>
    </w:p>
    <w:p w14:paraId="5EB54E2F" w14:textId="77777777" w:rsidR="0065163D" w:rsidRDefault="0065163D" w:rsidP="00013F1A">
      <w:pPr>
        <w:ind w:left="360"/>
        <w:jc w:val="both"/>
        <w:rPr>
          <w:rFonts w:ascii="Times New Roman" w:hAnsi="Times New Roman"/>
          <w:sz w:val="22"/>
          <w:szCs w:val="22"/>
        </w:rPr>
      </w:pPr>
    </w:p>
    <w:p w14:paraId="2753508D" w14:textId="1F61A324"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43D0EE9" w14:textId="68C186EC"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361E9B1" w14:textId="27D40BF4"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CDB4B83" w14:textId="77777777" w:rsidR="00382F25" w:rsidRDefault="00382F25"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18DB53C" w14:textId="05409EB4" w:rsidR="007447D5" w:rsidRDefault="007447D5">
      <w:pPr>
        <w:spacing w:after="200" w:line="276" w:lineRule="auto"/>
        <w:rPr>
          <w:rFonts w:ascii="Times New Roman" w:hAnsi="Times New Roman"/>
          <w:b/>
          <w:sz w:val="28"/>
          <w:szCs w:val="28"/>
        </w:rPr>
        <w:sectPr w:rsidR="007447D5" w:rsidSect="007447D5">
          <w:headerReference w:type="default" r:id="rId21"/>
          <w:type w:val="continuous"/>
          <w:pgSz w:w="12240" w:h="15840"/>
          <w:pgMar w:top="1440" w:right="1440" w:bottom="1440" w:left="1440" w:header="720" w:footer="720" w:gutter="0"/>
          <w:cols w:space="720"/>
          <w:docGrid w:linePitch="360"/>
        </w:sectPr>
      </w:pPr>
    </w:p>
    <w:p w14:paraId="33329348" w14:textId="77777777" w:rsidR="0065163D" w:rsidRDefault="0065163D">
      <w:pPr>
        <w:spacing w:after="200" w:line="276" w:lineRule="auto"/>
        <w:rPr>
          <w:rFonts w:ascii="Times New Roman" w:eastAsiaTheme="majorEastAsia" w:hAnsi="Times New Roman" w:cstheme="majorBidi"/>
          <w:b/>
          <w:bCs/>
          <w:i/>
          <w:sz w:val="22"/>
          <w:szCs w:val="22"/>
        </w:rPr>
      </w:pPr>
      <w:bookmarkStart w:id="19" w:name="_Toc465258703"/>
      <w:bookmarkStart w:id="20" w:name="_Toc56760212"/>
      <w:r>
        <w:rPr>
          <w:rFonts w:ascii="Times New Roman" w:hAnsi="Times New Roman"/>
          <w:i/>
          <w:sz w:val="22"/>
          <w:szCs w:val="22"/>
        </w:rPr>
        <w:br w:type="page"/>
      </w:r>
    </w:p>
    <w:p w14:paraId="346E7D70" w14:textId="3E508CB3" w:rsidR="00B97480" w:rsidRPr="006F4F2B" w:rsidRDefault="00B97480" w:rsidP="005E465D">
      <w:pPr>
        <w:pStyle w:val="Heading1"/>
        <w:shd w:val="clear" w:color="auto" w:fill="BFBFBF" w:themeFill="background1" w:themeFillShade="BF"/>
        <w:spacing w:before="0" w:after="240"/>
        <w:jc w:val="center"/>
        <w:rPr>
          <w:rFonts w:ascii="Times New Roman" w:hAnsi="Times New Roman"/>
          <w:i/>
          <w:sz w:val="22"/>
          <w:szCs w:val="22"/>
        </w:rPr>
      </w:pPr>
      <w:r w:rsidRPr="006F4F2B">
        <w:rPr>
          <w:rFonts w:ascii="Times New Roman" w:hAnsi="Times New Roman"/>
          <w:i/>
          <w:color w:val="auto"/>
          <w:sz w:val="22"/>
          <w:szCs w:val="22"/>
        </w:rPr>
        <w:lastRenderedPageBreak/>
        <w:t>COMMISSARIES</w:t>
      </w:r>
      <w:bookmarkEnd w:id="19"/>
      <w:bookmarkEnd w:id="20"/>
    </w:p>
    <w:p w14:paraId="0DCF05D6" w14:textId="675BAEE7" w:rsidR="00206D34" w:rsidRPr="006F4F2B" w:rsidRDefault="00505DFA" w:rsidP="005E465D">
      <w:pPr>
        <w:pStyle w:val="Heading3"/>
        <w:jc w:val="both"/>
        <w:rPr>
          <w:rFonts w:ascii="Times New Roman" w:hAnsi="Times New Roman"/>
          <w:color w:val="auto"/>
          <w:sz w:val="22"/>
          <w:szCs w:val="22"/>
        </w:rPr>
      </w:pPr>
      <w:bookmarkStart w:id="21" w:name="_Toc465258704"/>
      <w:bookmarkStart w:id="22" w:name="_Toc56760213"/>
      <w:r w:rsidRPr="006F4F2B">
        <w:rPr>
          <w:rFonts w:ascii="Times New Roman" w:hAnsi="Times New Roman"/>
          <w:color w:val="auto"/>
          <w:sz w:val="22"/>
          <w:szCs w:val="22"/>
        </w:rPr>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p>
    <w:p w14:paraId="5A1FA10B" w14:textId="77777777" w:rsidR="00206D34" w:rsidRPr="00D604F7" w:rsidRDefault="00206D34"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4D61FDEA"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341.25]</w:t>
      </w:r>
    </w:p>
    <w:p w14:paraId="55386D52" w14:textId="4C89CEED"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753.22]</w:t>
      </w:r>
    </w:p>
    <w:p w14:paraId="6B6CF751" w14:textId="48C7C841"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2301.58]</w:t>
      </w:r>
    </w:p>
    <w:p w14:paraId="25D39F51" w14:textId="1B4BEE76"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proofErr w:type="gramStart"/>
      <w:r w:rsidRPr="00875718">
        <w:rPr>
          <w:rFonts w:ascii="Times New Roman" w:hAnsi="Times New Roman"/>
          <w:sz w:val="22"/>
          <w:szCs w:val="22"/>
        </w:rPr>
        <w:t>the</w:t>
      </w:r>
      <w:proofErr w:type="gramEnd"/>
      <w:r w:rsidRPr="00875718">
        <w:rPr>
          <w:rFonts w:ascii="Times New Roman" w:hAnsi="Times New Roman"/>
          <w:sz w:val="22"/>
          <w:szCs w:val="22"/>
        </w:rPr>
        <w:t xml:space="preserve"> corrections commission of a multicounty, municipal-county, or multicounty-municipal correctional center.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67C68795"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the AOS Sheriff’s Manual (</w:t>
      </w:r>
      <w:hyperlink r:id="rId22" w:history="1">
        <w:r w:rsidR="00131ADA" w:rsidRPr="00B607CB">
          <w:rPr>
            <w:rStyle w:val="Hyperlink"/>
            <w:rFonts w:ascii="Times New Roman" w:hAnsi="Times New Roman"/>
            <w:sz w:val="22"/>
            <w:szCs w:val="22"/>
          </w:rPr>
          <w:t>https://ohioauditor.gov/publications/SheriffManual%209-27-18.pdf</w:t>
        </w:r>
      </w:hyperlink>
      <w:r w:rsidR="00131ADA" w:rsidRPr="00F2305B">
        <w:rPr>
          <w:rFonts w:ascii="Times New Roman" w:hAnsi="Times New Roman"/>
          <w:sz w:val="22"/>
          <w:szCs w:val="22"/>
        </w:rPr>
        <w:t>) and</w:t>
      </w:r>
      <w:r w:rsidR="00131ADA">
        <w:rPr>
          <w:rFonts w:ascii="Times New Roman" w:hAnsi="Times New Roman"/>
          <w:sz w:val="22"/>
          <w:szCs w:val="22"/>
        </w:rPr>
        <w:t xml:space="preserve"> </w:t>
      </w:r>
      <w:r w:rsidR="00144436">
        <w:rPr>
          <w:rFonts w:ascii="Times New Roman" w:hAnsi="Times New Roman"/>
          <w:b/>
          <w:sz w:val="22"/>
          <w:szCs w:val="22"/>
        </w:rPr>
        <w:t>AOS Bulletin</w:t>
      </w:r>
      <w:r w:rsidR="00144436" w:rsidRPr="00C24E5A">
        <w:rPr>
          <w:rFonts w:ascii="Times New Roman" w:hAnsi="Times New Roman"/>
          <w:b/>
          <w:sz w:val="22"/>
          <w:szCs w:val="22"/>
        </w:rPr>
        <w:t xml:space="preserve"> </w:t>
      </w:r>
      <w:r w:rsidR="00144436">
        <w:rPr>
          <w:rFonts w:ascii="Times New Roman" w:hAnsi="Times New Roman"/>
          <w:b/>
          <w:sz w:val="22"/>
          <w:szCs w:val="22"/>
        </w:rPr>
        <w:t>19</w:t>
      </w:r>
      <w:r w:rsidR="00144436" w:rsidRPr="00C24E5A">
        <w:rPr>
          <w:rFonts w:ascii="Times New Roman" w:hAnsi="Times New Roman"/>
          <w:b/>
          <w:sz w:val="22"/>
          <w:szCs w:val="22"/>
        </w:rPr>
        <w:t>97-011</w:t>
      </w:r>
      <w:r w:rsidR="00144436">
        <w:rPr>
          <w:rFonts w:ascii="Times New Roman" w:hAnsi="Times New Roman"/>
          <w:b/>
          <w:sz w:val="22"/>
          <w:szCs w:val="22"/>
        </w:rPr>
        <w:t xml:space="preserve"> </w:t>
      </w:r>
      <w:r w:rsidR="00144436" w:rsidRPr="00F2305B">
        <w:rPr>
          <w:rFonts w:ascii="Times New Roman" w:hAnsi="Times New Roman"/>
          <w:b/>
          <w:sz w:val="22"/>
          <w:szCs w:val="22"/>
        </w:rPr>
        <w:t>Appendix 1</w:t>
      </w:r>
      <w:r w:rsidR="00144436" w:rsidRPr="00C24E5A">
        <w:rPr>
          <w:rStyle w:val="FootnoteReference"/>
          <w:rFonts w:ascii="Times New Roman" w:hAnsi="Times New Roman"/>
          <w:b/>
          <w:sz w:val="22"/>
          <w:szCs w:val="22"/>
        </w:rPr>
        <w:footnoteReference w:id="14"/>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in excess of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162853BD" w:rsidR="00206D34" w:rsidRDefault="00875718" w:rsidP="00206D34">
      <w:pPr>
        <w:widowControl w:val="0"/>
        <w:jc w:val="both"/>
        <w:rPr>
          <w:rFonts w:ascii="Times New Roman" w:hAnsi="Times New Roman"/>
          <w:sz w:val="22"/>
          <w:szCs w:val="22"/>
        </w:rPr>
      </w:pPr>
      <w:r w:rsidRPr="00F2305B">
        <w:rPr>
          <w:rFonts w:ascii="Times New Roman" w:hAnsi="Times New Roman"/>
          <w:sz w:val="22"/>
          <w:szCs w:val="22"/>
        </w:rPr>
        <w:t>For Counties:</w:t>
      </w:r>
      <w:r>
        <w:rPr>
          <w:rFonts w:ascii="Times New Roman" w:hAnsi="Times New Roman"/>
          <w:sz w:val="22"/>
          <w:szCs w:val="22"/>
        </w:rPr>
        <w:t xml:space="preserve"> </w:t>
      </w:r>
      <w:r w:rsidR="00206D34" w:rsidRPr="00C24E5A">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0D2878">
        <w:rPr>
          <w:rFonts w:ascii="Times New Roman" w:hAnsi="Times New Roman"/>
          <w:sz w:val="22"/>
          <w:szCs w:val="22"/>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0D2878">
        <w:rPr>
          <w:rFonts w:ascii="Times New Roman" w:hAnsi="Times New Roman"/>
          <w:sz w:val="22"/>
          <w:szCs w:val="22"/>
        </w:rPr>
        <w:t>or to purchase technology designed to prevent contraband from entering the jail</w:t>
      </w:r>
      <w:r w:rsidR="00206D34" w:rsidRPr="00C24E5A">
        <w:rPr>
          <w:rFonts w:ascii="Times New Roman" w:hAnsi="Times New Roman"/>
          <w:sz w:val="22"/>
          <w:szCs w:val="22"/>
        </w:rPr>
        <w:t>.</w:t>
      </w:r>
      <w:r>
        <w:rPr>
          <w:rFonts w:ascii="Times New Roman" w:hAnsi="Times New Roman"/>
          <w:sz w:val="22"/>
          <w:szCs w:val="22"/>
        </w:rPr>
        <w:t xml:space="preserve">  </w:t>
      </w:r>
      <w:r w:rsidRPr="00F2305B">
        <w:rPr>
          <w:rFonts w:ascii="Times New Roman" w:hAnsi="Times New Roman"/>
          <w:sz w:val="22"/>
          <w:szCs w:val="22"/>
        </w:rPr>
        <w:t>[Ohio Rev. Code §</w:t>
      </w:r>
      <w:r w:rsidR="00FE3C72">
        <w:rPr>
          <w:rFonts w:ascii="Times New Roman" w:hAnsi="Times New Roman"/>
          <w:sz w:val="22"/>
          <w:szCs w:val="22"/>
        </w:rPr>
        <w:t xml:space="preserve"> </w:t>
      </w:r>
      <w:r w:rsidRPr="00F2305B">
        <w:rPr>
          <w:rFonts w:ascii="Times New Roman" w:hAnsi="Times New Roman"/>
          <w:sz w:val="22"/>
          <w:szCs w:val="22"/>
        </w:rPr>
        <w:t>341.25(B</w:t>
      </w:r>
      <w:proofErr w:type="gramStart"/>
      <w:r w:rsidRPr="00F2305B">
        <w:rPr>
          <w:rFonts w:ascii="Times New Roman" w:hAnsi="Times New Roman"/>
          <w:sz w:val="22"/>
          <w:szCs w:val="22"/>
        </w:rPr>
        <w:t>)(</w:t>
      </w:r>
      <w:proofErr w:type="gramEnd"/>
      <w:r w:rsidRPr="00F2305B">
        <w:rPr>
          <w:rFonts w:ascii="Times New Roman" w:hAnsi="Times New Roman"/>
          <w:sz w:val="22"/>
          <w:szCs w:val="22"/>
        </w:rPr>
        <w:t>3)]</w:t>
      </w:r>
    </w:p>
    <w:p w14:paraId="1D7F21B3" w14:textId="1428DC2B" w:rsidR="00875718" w:rsidRDefault="00875718" w:rsidP="00206D34">
      <w:pPr>
        <w:widowControl w:val="0"/>
        <w:jc w:val="both"/>
        <w:rPr>
          <w:rFonts w:ascii="Times New Roman" w:hAnsi="Times New Roman"/>
          <w:sz w:val="22"/>
          <w:szCs w:val="22"/>
        </w:rPr>
      </w:pPr>
    </w:p>
    <w:p w14:paraId="7E93100B" w14:textId="3EF20068"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w:t>
      </w:r>
      <w:r w:rsidR="00FE3C72">
        <w:rPr>
          <w:rFonts w:ascii="Times New Roman" w:hAnsi="Times New Roman"/>
          <w:sz w:val="22"/>
          <w:szCs w:val="22"/>
        </w:rPr>
        <w:t xml:space="preserve"> </w:t>
      </w:r>
      <w:r w:rsidRPr="00F2305B">
        <w:rPr>
          <w:rFonts w:ascii="Times New Roman" w:hAnsi="Times New Roman"/>
          <w:sz w:val="22"/>
          <w:szCs w:val="22"/>
        </w:rPr>
        <w:t>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5DEBA7F" w14:textId="64B972AB"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23" w:name="_Toc465258705"/>
      <w:bookmarkStart w:id="24" w:name="_Toc56760214"/>
      <w:r w:rsidRPr="006F4F2B">
        <w:rPr>
          <w:rFonts w:ascii="Times New Roman" w:hAnsi="Times New Roman"/>
          <w:i/>
          <w:color w:val="auto"/>
          <w:sz w:val="22"/>
          <w:szCs w:val="22"/>
        </w:rPr>
        <w:lastRenderedPageBreak/>
        <w:t>COURTS</w:t>
      </w:r>
      <w:bookmarkEnd w:id="23"/>
      <w:bookmarkEnd w:id="24"/>
    </w:p>
    <w:p w14:paraId="3CA56644" w14:textId="77777777" w:rsidR="00B97480" w:rsidRPr="00D604F7" w:rsidRDefault="00B97480" w:rsidP="00B22C83">
      <w:pPr>
        <w:spacing w:line="276" w:lineRule="auto"/>
        <w:rPr>
          <w:rFonts w:ascii="Times New Roman" w:hAnsi="Times New Roman"/>
          <w:b/>
          <w:sz w:val="22"/>
          <w:szCs w:val="22"/>
        </w:rPr>
      </w:pPr>
    </w:p>
    <w:p w14:paraId="30510729" w14:textId="161D073D" w:rsidR="00206D34" w:rsidRPr="006F4F2B" w:rsidRDefault="004A64AC" w:rsidP="00723519">
      <w:pPr>
        <w:pStyle w:val="Heading3"/>
        <w:spacing w:before="0"/>
        <w:jc w:val="both"/>
        <w:rPr>
          <w:rFonts w:ascii="Times New Roman" w:hAnsi="Times New Roman"/>
          <w:color w:val="auto"/>
          <w:sz w:val="22"/>
          <w:szCs w:val="22"/>
        </w:rPr>
      </w:pPr>
      <w:bookmarkStart w:id="25" w:name="_Toc465258706"/>
      <w:bookmarkStart w:id="26" w:name="_Toc56760215"/>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5"/>
      <w:bookmarkEnd w:id="26"/>
    </w:p>
    <w:p w14:paraId="2F8C7C2C" w14:textId="77777777" w:rsidR="00206D34" w:rsidRPr="00D604F7" w:rsidRDefault="00206D34" w:rsidP="00723519">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proofErr w:type="gramStart"/>
      <w:r w:rsidRPr="00D604F7">
        <w:rPr>
          <w:rFonts w:ascii="Times New Roman" w:hAnsi="Times New Roman"/>
          <w:sz w:val="22"/>
          <w:szCs w:val="22"/>
        </w:rPr>
        <w:t>common</w:t>
      </w:r>
      <w:proofErr w:type="gramEnd"/>
      <w:r w:rsidRPr="00D604F7">
        <w:rPr>
          <w:rFonts w:ascii="Times New Roman" w:hAnsi="Times New Roman"/>
          <w:sz w:val="22"/>
          <w:szCs w:val="22"/>
        </w:rPr>
        <w:t xml:space="preserve">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14:paraId="4FA29FDB" w14:textId="77777777" w:rsidR="00206D34" w:rsidRPr="00D604F7" w:rsidRDefault="00206D34"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2BCC3E2B" w14:textId="77777777" w:rsidR="005B5EE2" w:rsidRPr="00D604F7" w:rsidRDefault="005B5EE2"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9E6FE01" w14:textId="77777777" w:rsidR="00206D34" w:rsidRDefault="00206D34" w:rsidP="00206D34">
      <w:pPr>
        <w:widowControl w:val="0"/>
        <w:jc w:val="both"/>
        <w:rPr>
          <w:rFonts w:ascii="Times New Roman" w:hAnsi="Times New Roman"/>
          <w:sz w:val="22"/>
          <w:szCs w:val="22"/>
        </w:rPr>
      </w:pPr>
    </w:p>
    <w:p w14:paraId="5DAB5AE2" w14:textId="77777777" w:rsidR="00432EFE" w:rsidRPr="00D604F7" w:rsidRDefault="00432EFE"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CD93987" w14:textId="77777777"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480B294" w14:textId="77777777"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684FBCFE"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4"/>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FA4DF5" w14:textId="2F4DCE41" w:rsidR="00206D34" w:rsidRPr="006F4F2B" w:rsidRDefault="00E87816" w:rsidP="00723519">
      <w:pPr>
        <w:pStyle w:val="Heading3"/>
        <w:jc w:val="both"/>
        <w:rPr>
          <w:rFonts w:ascii="Times New Roman" w:hAnsi="Times New Roman"/>
          <w:sz w:val="22"/>
          <w:szCs w:val="22"/>
        </w:rPr>
      </w:pPr>
      <w:bookmarkStart w:id="27" w:name="_Toc465258707"/>
      <w:bookmarkStart w:id="28" w:name="_Toc56760216"/>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p>
    <w:p w14:paraId="3E8D6A73" w14:textId="77777777" w:rsidR="00206D34" w:rsidRPr="00D604F7" w:rsidRDefault="00206D34" w:rsidP="00206D34">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p>
    <w:p w14:paraId="2F2427ED" w14:textId="6F1FD201"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29" w:name="_Toc465258708"/>
      <w:bookmarkStart w:id="30" w:name="_Toc56760217"/>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170863">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29"/>
      <w:bookmarkEnd w:id="30"/>
    </w:p>
    <w:p w14:paraId="191C772E" w14:textId="77777777" w:rsidR="00206D34" w:rsidRPr="00F4577C" w:rsidRDefault="00206D34" w:rsidP="00206D34">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77777777"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349DED1" w14:textId="77777777" w:rsidR="00206D34" w:rsidRDefault="00206D34" w:rsidP="00206D34">
      <w:pPr>
        <w:widowControl w:val="0"/>
        <w:jc w:val="both"/>
        <w:rPr>
          <w:rFonts w:ascii="Times New Roman" w:hAnsi="Times New Roman"/>
          <w:sz w:val="22"/>
          <w:szCs w:val="22"/>
        </w:rPr>
      </w:pPr>
    </w:p>
    <w:p w14:paraId="53F5E5D8" w14:textId="77777777" w:rsidR="005B5EE2" w:rsidRPr="00D604F7" w:rsidRDefault="005B5EE2"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5F0C0D90" w14:textId="77777777" w:rsidR="00432EFE" w:rsidRPr="00D604F7" w:rsidRDefault="00432EFE"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4D7063E6"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p>
    <w:p w14:paraId="6E00650E" w14:textId="3A28F4C9"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1" w:name="_Toc465258709"/>
      <w:bookmarkStart w:id="32" w:name="_Toc56760218"/>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1"/>
      <w:bookmarkEnd w:id="32"/>
    </w:p>
    <w:p w14:paraId="2031B6A9" w14:textId="77777777" w:rsidR="00783B99" w:rsidRPr="00D604F7" w:rsidRDefault="00783B99" w:rsidP="00723519">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77777777"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5D657AC8" w14:textId="698268C1" w:rsidR="00206D34" w:rsidRPr="006F4F2B" w:rsidRDefault="00E87816" w:rsidP="006F4F2B">
      <w:pPr>
        <w:pStyle w:val="Heading3"/>
        <w:spacing w:before="0"/>
        <w:rPr>
          <w:rFonts w:ascii="Times New Roman" w:hAnsi="Times New Roman"/>
          <w:color w:val="auto"/>
          <w:sz w:val="22"/>
          <w:szCs w:val="22"/>
        </w:rPr>
      </w:pPr>
      <w:bookmarkStart w:id="33" w:name="_Toc465258710"/>
      <w:bookmarkStart w:id="34" w:name="_Toc56760219"/>
      <w:r w:rsidRPr="006F4F2B">
        <w:rPr>
          <w:rFonts w:ascii="Times New Roman" w:hAnsi="Times New Roman"/>
          <w:color w:val="auto"/>
          <w:sz w:val="22"/>
          <w:szCs w:val="22"/>
        </w:rPr>
        <w:lastRenderedPageBreak/>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3"/>
      <w:bookmarkEnd w:id="34"/>
    </w:p>
    <w:p w14:paraId="192440E5" w14:textId="77777777"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48603350" w14:textId="77777777" w:rsidR="00BC3394" w:rsidRDefault="00BC3394" w:rsidP="00206D34">
      <w:pPr>
        <w:widowControl w:val="0"/>
        <w:jc w:val="both"/>
        <w:rPr>
          <w:rFonts w:ascii="Times New Roman" w:hAnsi="Times New Roman"/>
          <w:b/>
          <w:i/>
          <w:sz w:val="22"/>
          <w:szCs w:val="22"/>
        </w:rPr>
      </w:pPr>
    </w:p>
    <w:p w14:paraId="2D9D5ECD" w14:textId="77777777" w:rsidR="00874839" w:rsidRDefault="00874839"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125CC8F0" w14:textId="77777777"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5"/>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1D1F57E" w14:textId="77777777" w:rsidR="00382F25" w:rsidRDefault="00382F25" w:rsidP="00206D34">
      <w:pPr>
        <w:widowControl w:val="0"/>
        <w:tabs>
          <w:tab w:val="left" w:pos="2160"/>
        </w:tabs>
        <w:jc w:val="both"/>
        <w:rPr>
          <w:rFonts w:ascii="Times New Roman" w:hAnsi="Times New Roman"/>
          <w:sz w:val="22"/>
          <w:szCs w:val="22"/>
        </w:rPr>
      </w:pPr>
    </w:p>
    <w:p w14:paraId="08B23011" w14:textId="77777777" w:rsidR="00382F25" w:rsidRDefault="00382F25"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44F26F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6"/>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F16FCF">
        <w:rPr>
          <w:rFonts w:ascii="Times New Roman" w:hAnsi="Times New Roman"/>
          <w:b/>
          <w:color w:val="0070C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57AA1">
        <w:rPr>
          <w:rFonts w:ascii="Times New Roman" w:hAnsi="Times New Roman"/>
          <w:b/>
          <w:color w:val="0070C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1E569882" w14:textId="77777777"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14:paraId="6582D1D1" w14:textId="7777777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D57AA1">
        <w:rPr>
          <w:rFonts w:ascii="Times New Roman" w:hAnsi="Times New Roman"/>
          <w:b/>
          <w:color w:val="0070C0"/>
          <w:sz w:val="22"/>
          <w:szCs w:val="22"/>
        </w:rPr>
        <w:t>*</w:t>
      </w:r>
    </w:p>
    <w:p w14:paraId="66B83E3A"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17D36F3E"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sz w:val="22"/>
          <w:szCs w:val="22"/>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sz w:val="22"/>
          <w:szCs w:val="22"/>
        </w:rPr>
      </w:r>
      <w:r w:rsidR="008C191C" w:rsidRPr="00F4577C">
        <w:rPr>
          <w:rFonts w:ascii="Times New Roman" w:hAnsi="Times New Roman"/>
          <w:sz w:val="22"/>
          <w:szCs w:val="22"/>
        </w:rPr>
        <w:fldChar w:fldCharType="separate"/>
      </w:r>
      <w:r w:rsidR="00AC09EA">
        <w:rPr>
          <w:rFonts w:ascii="Times New Roman" w:hAnsi="Times New Roman"/>
          <w:sz w:val="22"/>
          <w:szCs w:val="22"/>
        </w:rPr>
        <w:t>AOS Bulletin</w:t>
      </w:r>
      <w:r w:rsidR="00AC09EA" w:rsidRPr="00C24E5A">
        <w:rPr>
          <w:rFonts w:ascii="Times New Roman" w:hAnsi="Times New Roman"/>
          <w:sz w:val="22"/>
          <w:szCs w:val="22"/>
        </w:rPr>
        <w:t xml:space="preserve"> 2005-003</w:t>
      </w:r>
      <w:r w:rsidR="008C191C" w:rsidRPr="00F4577C">
        <w:rPr>
          <w:rFonts w:ascii="Times New Roman" w:hAnsi="Times New Roman"/>
          <w:sz w:val="22"/>
          <w:szCs w:val="22"/>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8ED7FAE" w14:textId="77777777" w:rsidR="007D796A" w:rsidRPr="00170F37" w:rsidRDefault="007D796A" w:rsidP="00206D34">
      <w:pPr>
        <w:widowControl w:val="0"/>
        <w:tabs>
          <w:tab w:val="left" w:pos="2160"/>
        </w:tabs>
        <w:ind w:left="2160" w:hanging="2160"/>
        <w:jc w:val="both"/>
        <w:rPr>
          <w:rFonts w:ascii="Times New Roman" w:hAnsi="Times New Roman"/>
          <w:sz w:val="22"/>
          <w:szCs w:val="22"/>
        </w:rPr>
      </w:pPr>
      <w:r w:rsidRPr="00170F37">
        <w:rPr>
          <w:rFonts w:ascii="Times New Roman" w:hAnsi="Times New Roman"/>
          <w:sz w:val="22"/>
          <w:szCs w:val="22"/>
        </w:rPr>
        <w:t>2743.75(D</w:t>
      </w:r>
      <w:proofErr w:type="gramStart"/>
      <w:r w:rsidRPr="00170F37">
        <w:rPr>
          <w:rFonts w:ascii="Times New Roman" w:hAnsi="Times New Roman"/>
          <w:sz w:val="22"/>
          <w:szCs w:val="22"/>
        </w:rPr>
        <w:t>)(</w:t>
      </w:r>
      <w:proofErr w:type="gramEnd"/>
      <w:r w:rsidRPr="00170F37">
        <w:rPr>
          <w:rFonts w:ascii="Times New Roman" w:hAnsi="Times New Roman"/>
          <w:sz w:val="22"/>
          <w:szCs w:val="22"/>
        </w:rPr>
        <w:t>1)</w:t>
      </w:r>
      <w:r w:rsidRPr="00170F37">
        <w:rPr>
          <w:rFonts w:ascii="Times New Roman" w:hAnsi="Times New Roman"/>
          <w:sz w:val="22"/>
          <w:szCs w:val="22"/>
        </w:rPr>
        <w:tab/>
        <w:t>Filing fee for disputes over denial of access to public records</w:t>
      </w:r>
    </w:p>
    <w:p w14:paraId="214124AE" w14:textId="77777777" w:rsidR="00F87B8F" w:rsidRDefault="00F87B8F" w:rsidP="00F87B8F">
      <w:pPr>
        <w:widowControl w:val="0"/>
        <w:tabs>
          <w:tab w:val="left" w:pos="2160"/>
        </w:tabs>
        <w:ind w:left="2160" w:hanging="2160"/>
        <w:jc w:val="both"/>
        <w:rPr>
          <w:rFonts w:ascii="Times New Roman" w:hAnsi="Times New Roman"/>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14:paraId="3A48009E"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77777777"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2953.37/.38/.53</w:t>
      </w:r>
      <w:r w:rsidRPr="000D2878">
        <w:rPr>
          <w:rFonts w:ascii="Times New Roman" w:hAnsi="Times New Roman"/>
          <w:sz w:val="22"/>
          <w:szCs w:val="22"/>
        </w:rPr>
        <w:tab/>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w:t>
      </w:r>
      <w:proofErr w:type="gramStart"/>
      <w:r w:rsidRPr="00D604F7">
        <w:rPr>
          <w:rFonts w:ascii="Times New Roman" w:hAnsi="Times New Roman"/>
          <w:sz w:val="22"/>
          <w:szCs w:val="22"/>
        </w:rPr>
        <w:t>)(</w:t>
      </w:r>
      <w:proofErr w:type="gramEnd"/>
      <w:r w:rsidRPr="00D604F7">
        <w:rPr>
          <w:rFonts w:ascii="Times New Roman" w:hAnsi="Times New Roman"/>
          <w:sz w:val="22"/>
          <w:szCs w:val="22"/>
        </w:rPr>
        <w:t>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4A0F2A7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14:paraId="42DD837B" w14:textId="7EDBFEA6" w:rsidR="00206D34" w:rsidRDefault="00206D34" w:rsidP="00206D34">
      <w:pPr>
        <w:widowControl w:val="0"/>
        <w:jc w:val="both"/>
        <w:rPr>
          <w:rFonts w:ascii="Times New Roman" w:hAnsi="Times New Roman"/>
          <w:sz w:val="22"/>
          <w:szCs w:val="22"/>
        </w:rPr>
      </w:pPr>
    </w:p>
    <w:p w14:paraId="58C52C46" w14:textId="77777777" w:rsidR="006B3428" w:rsidRPr="00D604F7" w:rsidRDefault="006B3428" w:rsidP="00206D34">
      <w:pPr>
        <w:widowControl w:val="0"/>
        <w:jc w:val="both"/>
        <w:rPr>
          <w:rFonts w:ascii="Times New Roman" w:hAnsi="Times New Roman"/>
          <w:sz w:val="22"/>
          <w:szCs w:val="22"/>
        </w:rPr>
      </w:pPr>
    </w:p>
    <w:p w14:paraId="4709D482" w14:textId="77777777" w:rsidR="00206D34" w:rsidRPr="00D604F7" w:rsidRDefault="00206D34" w:rsidP="00206D34">
      <w:pPr>
        <w:widowControl w:val="0"/>
        <w:jc w:val="both"/>
        <w:rPr>
          <w:rFonts w:ascii="Times New Roman" w:hAnsi="Times New Roman"/>
          <w:sz w:val="22"/>
          <w:szCs w:val="22"/>
        </w:rPr>
      </w:pPr>
      <w:r w:rsidRPr="00D57AA1">
        <w:rPr>
          <w:rFonts w:ascii="Times New Roman" w:hAnsi="Times New Roman"/>
          <w:b/>
          <w:color w:val="0070C0"/>
          <w:sz w:val="22"/>
          <w:szCs w:val="22"/>
        </w:rPr>
        <w:t>*</w:t>
      </w:r>
      <w:r w:rsidRPr="00D604F7">
        <w:rPr>
          <w:rFonts w:ascii="Times New Roman" w:hAnsi="Times New Roman"/>
          <w:sz w:val="22"/>
          <w:szCs w:val="22"/>
        </w:rPr>
        <w:t xml:space="preserve"> Per </w:t>
      </w:r>
      <w:bookmarkStart w:id="35"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5"/>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5F2A5C5C" w14:textId="56EA401E" w:rsidR="00382F25" w:rsidRDefault="00382F25">
      <w:pPr>
        <w:spacing w:after="200" w:line="276" w:lineRule="auto"/>
        <w:rPr>
          <w:rFonts w:ascii="Times New Roman" w:hAnsi="Times New Roman"/>
          <w:sz w:val="22"/>
          <w:szCs w:val="22"/>
        </w:rPr>
      </w:pPr>
      <w:r>
        <w:rPr>
          <w:rFonts w:ascii="Times New Roman" w:hAnsi="Times New Roman"/>
          <w:sz w:val="22"/>
          <w:szCs w:val="22"/>
        </w:rPr>
        <w:br w:type="page"/>
      </w:r>
    </w:p>
    <w:p w14:paraId="73AAA579"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7777777"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 xml:space="preserve">(Typically, we only require a low degree of assurance over compliance with this requirement.  However, where courts are a material audit cycle, auditors should evaluate general IT controls (AOS staff should complete the </w:t>
      </w:r>
      <w:proofErr w:type="spellStart"/>
      <w:r w:rsidRPr="00D604F7">
        <w:rPr>
          <w:rFonts w:ascii="Times New Roman" w:hAnsi="Times New Roman"/>
          <w:i/>
          <w:sz w:val="22"/>
          <w:szCs w:val="22"/>
        </w:rPr>
        <w:t>RCEC</w:t>
      </w:r>
      <w:proofErr w:type="spellEnd"/>
      <w:r w:rsidRPr="00D604F7">
        <w:rPr>
          <w:rFonts w:ascii="Times New Roman" w:hAnsi="Times New Roman"/>
          <w:i/>
          <w:sz w:val="22"/>
          <w:szCs w:val="22"/>
        </w:rPr>
        <w:t>)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5361C5E0" w14:textId="77777777" w:rsidR="00206D34" w:rsidRPr="00D604F7" w:rsidRDefault="00206D34" w:rsidP="00206D34">
      <w:pPr>
        <w:widowControl w:val="0"/>
        <w:jc w:val="both"/>
        <w:rPr>
          <w:rFonts w:ascii="Times New Roman" w:hAnsi="Times New Roman"/>
          <w:sz w:val="22"/>
          <w:szCs w:val="22"/>
        </w:rPr>
      </w:pPr>
    </w:p>
    <w:p w14:paraId="68F0FCBD" w14:textId="77777777" w:rsidR="00206D34" w:rsidRPr="00D604F7" w:rsidRDefault="00206D34"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935144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8521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73C05B5" w14:textId="7B873FF8" w:rsidR="007447D5" w:rsidRDefault="007447D5" w:rsidP="00206D34">
      <w:pPr>
        <w:widowControl w:val="0"/>
        <w:jc w:val="both"/>
        <w:rPr>
          <w:rFonts w:ascii="Times New Roman" w:hAnsi="Times New Roman"/>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p>
    <w:p w14:paraId="44B3B84F" w14:textId="7A4372CC" w:rsidR="00206D34" w:rsidRPr="006F4F2B" w:rsidRDefault="00206D34" w:rsidP="00723519">
      <w:pPr>
        <w:pStyle w:val="Heading3"/>
        <w:spacing w:before="0"/>
        <w:jc w:val="both"/>
        <w:rPr>
          <w:rFonts w:ascii="Times New Roman" w:hAnsi="Times New Roman"/>
          <w:color w:val="auto"/>
          <w:sz w:val="22"/>
          <w:szCs w:val="22"/>
        </w:rPr>
      </w:pPr>
      <w:r w:rsidRPr="00D604F7">
        <w:rPr>
          <w:rFonts w:ascii="Times New Roman" w:hAnsi="Times New Roman"/>
          <w:sz w:val="22"/>
          <w:szCs w:val="22"/>
        </w:rPr>
        <w:br w:type="page"/>
      </w:r>
      <w:bookmarkStart w:id="36" w:name="_Toc465258711"/>
      <w:bookmarkStart w:id="37" w:name="_Ref31118485"/>
      <w:bookmarkStart w:id="38" w:name="_Ref31118488"/>
      <w:bookmarkStart w:id="39" w:name="_Ref31118595"/>
      <w:bookmarkStart w:id="40" w:name="_Ref53130669"/>
      <w:bookmarkStart w:id="41" w:name="_Ref53130679"/>
      <w:bookmarkStart w:id="42" w:name="_Ref53130683"/>
      <w:bookmarkStart w:id="43" w:name="_Toc56760220"/>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w:t>
      </w:r>
      <w:r w:rsidR="00170863">
        <w:rPr>
          <w:rFonts w:ascii="Times New Roman" w:hAnsi="Times New Roman"/>
          <w:color w:val="auto"/>
          <w:sz w:val="22"/>
          <w:szCs w:val="22"/>
        </w:rPr>
        <w:t>3</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36"/>
      <w:bookmarkEnd w:id="37"/>
      <w:bookmarkEnd w:id="38"/>
      <w:bookmarkEnd w:id="39"/>
      <w:bookmarkEnd w:id="40"/>
      <w:bookmarkEnd w:id="41"/>
      <w:bookmarkEnd w:id="42"/>
      <w:bookmarkEnd w:id="43"/>
    </w:p>
    <w:p w14:paraId="3DB29A72" w14:textId="77777777" w:rsidR="00206D34" w:rsidRPr="00D604F7" w:rsidRDefault="00206D34" w:rsidP="00206D34">
      <w:pPr>
        <w:widowControl w:val="0"/>
        <w:jc w:val="both"/>
        <w:rPr>
          <w:rFonts w:ascii="Times New Roman" w:hAnsi="Times New Roman"/>
          <w:sz w:val="22"/>
          <w:szCs w:val="22"/>
        </w:rPr>
      </w:pPr>
    </w:p>
    <w:p w14:paraId="07DBE8E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72E2B6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43E2A4" w14:textId="10CC666D" w:rsidR="00206D34" w:rsidRDefault="00206D34" w:rsidP="00206D34">
      <w:pPr>
        <w:widowControl w:val="0"/>
        <w:jc w:val="both"/>
        <w:rPr>
          <w:rFonts w:ascii="Times New Roman" w:hAnsi="Times New Roman"/>
          <w:sz w:val="22"/>
          <w:szCs w:val="22"/>
        </w:rPr>
      </w:pPr>
    </w:p>
    <w:p w14:paraId="0C820E9C" w14:textId="77777777" w:rsidR="00040FF3" w:rsidRPr="00D604F7" w:rsidRDefault="00040FF3"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 xml:space="preserve">(Typically, we only require a low degree of assurance over compliance with this requirement.  However, where courts are a material audit cycle, auditors should evaluate general IT controls (AOS staff should complete the </w:t>
      </w:r>
      <w:proofErr w:type="spellStart"/>
      <w:r w:rsidRPr="006C15D3">
        <w:rPr>
          <w:rFonts w:ascii="Times New Roman" w:hAnsi="Times New Roman"/>
          <w:i/>
          <w:sz w:val="22"/>
          <w:szCs w:val="22"/>
        </w:rPr>
        <w:t>RCEC</w:t>
      </w:r>
      <w:proofErr w:type="spellEnd"/>
      <w:r w:rsidRPr="006C15D3">
        <w:rPr>
          <w:rFonts w:ascii="Times New Roman" w:hAnsi="Times New Roman"/>
          <w:i/>
          <w:sz w:val="22"/>
          <w:szCs w:val="22"/>
        </w:rPr>
        <w:t>)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29"/>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1F87D3A" w14:textId="11083AE5"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4" w:name="_Toc465258712"/>
      <w:bookmarkStart w:id="45" w:name="_Toc56760221"/>
      <w:r w:rsidRPr="006F4F2B">
        <w:rPr>
          <w:rFonts w:ascii="Times New Roman" w:hAnsi="Times New Roman"/>
          <w:i/>
          <w:color w:val="auto"/>
          <w:sz w:val="22"/>
          <w:szCs w:val="22"/>
        </w:rPr>
        <w:lastRenderedPageBreak/>
        <w:t>COUNTIES</w:t>
      </w:r>
      <w:bookmarkEnd w:id="44"/>
      <w:bookmarkEnd w:id="45"/>
    </w:p>
    <w:p w14:paraId="2308720F" w14:textId="77777777" w:rsidR="00D651F5" w:rsidRPr="006F4F2B" w:rsidRDefault="00D651F5" w:rsidP="00D651F5">
      <w:pPr>
        <w:jc w:val="both"/>
        <w:rPr>
          <w:rFonts w:ascii="Times New Roman" w:hAnsi="Times New Roman"/>
          <w:sz w:val="22"/>
          <w:szCs w:val="22"/>
        </w:rPr>
      </w:pPr>
      <w:bookmarkStart w:id="46" w:name="_Toc465258714"/>
    </w:p>
    <w:p w14:paraId="63DDDAA3" w14:textId="31AE9ED8" w:rsidR="00D604F7" w:rsidRPr="00040FF3" w:rsidRDefault="00E87816" w:rsidP="00723519">
      <w:pPr>
        <w:pStyle w:val="Heading3"/>
        <w:spacing w:before="0"/>
        <w:jc w:val="both"/>
        <w:rPr>
          <w:rFonts w:ascii="Times New Roman" w:hAnsi="Times New Roman"/>
          <w:b w:val="0"/>
          <w:color w:val="auto"/>
          <w:sz w:val="22"/>
          <w:szCs w:val="22"/>
        </w:rPr>
      </w:pPr>
      <w:bookmarkStart w:id="47" w:name="_Toc56760222"/>
      <w:r w:rsidRPr="006F4F2B">
        <w:rPr>
          <w:rFonts w:ascii="Times New Roman" w:hAnsi="Times New Roman"/>
          <w:color w:val="auto"/>
          <w:sz w:val="22"/>
          <w:szCs w:val="22"/>
        </w:rPr>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 xml:space="preserve">Furtherance of Justice </w:t>
      </w:r>
      <w:r w:rsidR="00B82C01" w:rsidRPr="00040FF3">
        <w:rPr>
          <w:rFonts w:ascii="Times New Roman" w:hAnsi="Times New Roman"/>
          <w:b w:val="0"/>
          <w:color w:val="auto"/>
          <w:sz w:val="22"/>
          <w:szCs w:val="22"/>
        </w:rPr>
        <w:t>(FOJ)</w:t>
      </w:r>
      <w:bookmarkEnd w:id="46"/>
      <w:bookmarkEnd w:id="47"/>
    </w:p>
    <w:p w14:paraId="5119966D" w14:textId="77777777" w:rsidR="00A10D64" w:rsidRPr="006F4F2B" w:rsidRDefault="00A10D64" w:rsidP="00A10D64">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315711BC"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D604F7" w:rsidRPr="00FA33DF">
        <w:rPr>
          <w:rFonts w:ascii="Times New Roman" w:hAnsi="Times New Roman"/>
          <w:sz w:val="22"/>
          <w:szCs w:val="22"/>
          <w:u w:val="wave"/>
        </w:rPr>
        <w:t>(</w:t>
      </w:r>
      <w:r w:rsidR="00FA33DF" w:rsidRPr="00FA33DF">
        <w:rPr>
          <w:rFonts w:ascii="Times New Roman" w:hAnsi="Times New Roman"/>
          <w:sz w:val="22"/>
          <w:szCs w:val="22"/>
          <w:u w:val="wave"/>
        </w:rPr>
        <w:t>A</w:t>
      </w:r>
      <w:r w:rsidR="00FA33DF" w:rsidRPr="00FA33DF">
        <w:rPr>
          <w:rFonts w:ascii="Times New Roman" w:hAnsi="Times New Roman"/>
          <w:dstrike/>
          <w:sz w:val="22"/>
          <w:szCs w:val="22"/>
        </w:rPr>
        <w:t>B</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7777777"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325.12, the prosecutor’s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77777777"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14:paraId="1263376A" w14:textId="117809E4" w:rsidR="00816241" w:rsidRDefault="00816241" w:rsidP="00D604F7">
      <w:pPr>
        <w:jc w:val="both"/>
        <w:rPr>
          <w:rFonts w:ascii="Times New Roman" w:hAnsi="Times New Roman"/>
          <w:sz w:val="22"/>
          <w:szCs w:val="22"/>
        </w:rPr>
      </w:pPr>
    </w:p>
    <w:p w14:paraId="45202DA5" w14:textId="5ACA6722" w:rsidR="002250FA" w:rsidRPr="00F2305B"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AOS Ohio Sheriff’s Manual for further guidance: </w:t>
      </w:r>
      <w:hyperlink r:id="rId30" w:history="1">
        <w:r w:rsidRPr="00F2305B">
          <w:rPr>
            <w:rStyle w:val="Hyperlink"/>
            <w:rFonts w:ascii="Times New Roman" w:hAnsi="Times New Roman"/>
            <w:sz w:val="22"/>
            <w:szCs w:val="22"/>
            <w:u w:val="none"/>
          </w:rPr>
          <w:t>https://ohioauditor.gov/publications/SheriffManual%209-27-18.pdf</w:t>
        </w:r>
      </w:hyperlink>
      <w:r w:rsidRPr="00F2305B">
        <w:rPr>
          <w:rFonts w:ascii="Times New Roman" w:hAnsi="Times New Roman"/>
          <w:sz w:val="22"/>
          <w:szCs w:val="22"/>
        </w:rPr>
        <w:t>.</w:t>
      </w:r>
    </w:p>
    <w:p w14:paraId="035196FB" w14:textId="03C4099B" w:rsidR="00F6380A" w:rsidRDefault="00F6380A" w:rsidP="00D604F7">
      <w:pPr>
        <w:jc w:val="both"/>
        <w:rPr>
          <w:rFonts w:ascii="Times New Roman" w:hAnsi="Times New Roman"/>
          <w:sz w:val="22"/>
          <w:szCs w:val="22"/>
        </w:rPr>
      </w:pPr>
    </w:p>
    <w:p w14:paraId="12B13962" w14:textId="77777777" w:rsidR="0065163D" w:rsidRPr="00D604F7" w:rsidRDefault="0065163D" w:rsidP="00D604F7">
      <w:pPr>
        <w:jc w:val="both"/>
        <w:rPr>
          <w:rFonts w:ascii="Times New Roman" w:hAnsi="Times New Roman"/>
          <w:sz w:val="22"/>
          <w:szCs w:val="22"/>
        </w:rPr>
      </w:pPr>
    </w:p>
    <w:p w14:paraId="7DDC1A23" w14:textId="3ECEC4A0" w:rsidR="00B82C01" w:rsidRPr="00F433D2" w:rsidRDefault="00816241" w:rsidP="00B82C0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w:t>
      </w:r>
      <w:r w:rsidR="00B82C01" w:rsidRPr="00F433D2">
        <w:rPr>
          <w:rFonts w:ascii="Times New Roman" w:hAnsi="Times New Roman"/>
          <w:b/>
          <w:sz w:val="22"/>
          <w:szCs w:val="22"/>
        </w:rPr>
        <w:t xml:space="preserve">Procedures </w:t>
      </w:r>
      <w:r w:rsidR="00B82C01" w:rsidRPr="00B82C01">
        <w:rPr>
          <w:rFonts w:ascii="Times New Roman" w:hAnsi="Times New Roman"/>
          <w:b/>
          <w:strike/>
          <w:sz w:val="22"/>
          <w:szCs w:val="22"/>
        </w:rPr>
        <w:t>(</w:t>
      </w:r>
      <w:r w:rsidR="00FA33DF" w:rsidRPr="00F433D2">
        <w:rPr>
          <w:rFonts w:ascii="Times New Roman" w:hAnsi="Times New Roman"/>
          <w:b/>
          <w:sz w:val="22"/>
          <w:szCs w:val="22"/>
        </w:rPr>
        <w:t xml:space="preserve">To be performed </w:t>
      </w:r>
      <w:r w:rsidR="00FA33DF" w:rsidRPr="00F433D2">
        <w:rPr>
          <w:rFonts w:ascii="Times New Roman" w:hAnsi="Times New Roman"/>
          <w:b/>
          <w:sz w:val="22"/>
          <w:szCs w:val="22"/>
          <w:u w:val="single"/>
        </w:rPr>
        <w:t>every</w:t>
      </w:r>
      <w:r w:rsidR="00FA33DF" w:rsidRPr="00F433D2">
        <w:rPr>
          <w:rFonts w:ascii="Times New Roman" w:hAnsi="Times New Roman"/>
          <w:b/>
          <w:sz w:val="22"/>
          <w:szCs w:val="22"/>
        </w:rPr>
        <w:t xml:space="preserve"> year</w:t>
      </w:r>
      <w:r w:rsidR="00B82C01" w:rsidRPr="00B82C01">
        <w:rPr>
          <w:rFonts w:ascii="Times New Roman" w:hAnsi="Times New Roman"/>
          <w:b/>
          <w:strike/>
          <w:sz w:val="22"/>
          <w:szCs w:val="22"/>
        </w:rPr>
        <w:t>)</w:t>
      </w:r>
      <w:r w:rsidR="00B82C01" w:rsidRPr="00F433D2">
        <w:rPr>
          <w:rFonts w:ascii="Times New Roman" w:hAnsi="Times New Roman"/>
          <w:b/>
          <w:sz w:val="22"/>
          <w:szCs w:val="22"/>
        </w:rPr>
        <w:t>:</w:t>
      </w:r>
    </w:p>
    <w:p w14:paraId="36EE85FD" w14:textId="77777777" w:rsidR="00816241" w:rsidRPr="00D604F7" w:rsidRDefault="00816241" w:rsidP="00816241">
      <w:pPr>
        <w:widowControl w:val="0"/>
        <w:jc w:val="both"/>
        <w:rPr>
          <w:rFonts w:ascii="Times New Roman" w:hAnsi="Times New Roman"/>
          <w:sz w:val="22"/>
          <w:szCs w:val="22"/>
        </w:rPr>
      </w:pPr>
    </w:p>
    <w:p w14:paraId="779717BE"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77777777" w:rsidR="00D604F7" w:rsidRPr="00D604F7"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 xml:space="preserve">AOS Bulletin </w:t>
      </w:r>
      <w:r w:rsidR="002A5A46" w:rsidRPr="002A5A46">
        <w:rPr>
          <w:rFonts w:ascii="Times New Roman" w:hAnsi="Times New Roman"/>
          <w:sz w:val="22"/>
          <w:szCs w:val="22"/>
        </w:rPr>
        <w:lastRenderedPageBreak/>
        <w:t>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 xml:space="preserve">Do officers receiving cash sign a form or </w:t>
      </w:r>
      <w:proofErr w:type="spellStart"/>
      <w:r w:rsidRPr="005B5EE2">
        <w:rPr>
          <w:rFonts w:ascii="Times New Roman" w:hAnsi="Times New Roman"/>
          <w:sz w:val="22"/>
          <w:szCs w:val="22"/>
        </w:rPr>
        <w:t>prenumbered</w:t>
      </w:r>
      <w:proofErr w:type="spellEnd"/>
      <w:r w:rsidRPr="005B5EE2">
        <w:rPr>
          <w:rFonts w:ascii="Times New Roman" w:hAnsi="Times New Roman"/>
          <w:sz w:val="22"/>
          <w:szCs w:val="22"/>
        </w:rPr>
        <w:t>, duplicate receipt for all money received?</w:t>
      </w:r>
    </w:p>
    <w:p w14:paraId="311A83DF"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 xml:space="preserve">However, do officers submit vendor invoices, cash register slips or other documentation to support other uses of funds (similar to an </w:t>
      </w:r>
      <w:proofErr w:type="spellStart"/>
      <w:r w:rsidRPr="005B5EE2">
        <w:rPr>
          <w:rFonts w:ascii="Times New Roman" w:hAnsi="Times New Roman"/>
          <w:sz w:val="22"/>
          <w:szCs w:val="22"/>
        </w:rPr>
        <w:t>imprest</w:t>
      </w:r>
      <w:proofErr w:type="spellEnd"/>
      <w:r w:rsidRPr="005B5EE2">
        <w:rPr>
          <w:rFonts w:ascii="Times New Roman" w:hAnsi="Times New Roman"/>
          <w:sz w:val="22"/>
          <w:szCs w:val="22"/>
        </w:rPr>
        <w:t xml:space="preserve"> petty cash fund)?</w:t>
      </w:r>
    </w:p>
    <w:p w14:paraId="355A1A5A"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14:paraId="2B83C026"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77777777"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activity in the FOJ account cash 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Trace payment of the remaining year end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7777777"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60935F63"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 xml:space="preserve">2005 Op. </w:t>
      </w:r>
      <w:r w:rsidR="00F87B8F">
        <w:rPr>
          <w:rFonts w:ascii="Times New Roman" w:hAnsi="Times New Roman"/>
          <w:sz w:val="22"/>
          <w:szCs w:val="22"/>
        </w:rPr>
        <w:t>Att’y</w:t>
      </w:r>
      <w:r w:rsidR="0085448D" w:rsidRPr="00C24E5A">
        <w:rPr>
          <w:rFonts w:ascii="Times New Roman" w:hAnsi="Times New Roman"/>
          <w:sz w:val="22"/>
          <w:szCs w:val="22"/>
        </w:rPr>
        <w:t>. Gen. No.</w:t>
      </w:r>
      <w:r w:rsidRPr="00C24E5A">
        <w:rPr>
          <w:rFonts w:ascii="Times New Roman" w:hAnsi="Times New Roman"/>
          <w:sz w:val="22"/>
          <w:szCs w:val="22"/>
        </w:rPr>
        <w:t xml:space="preserve"> 2005-035</w:t>
      </w:r>
      <w:proofErr w:type="gramStart"/>
      <w:r w:rsidRPr="00C24E5A">
        <w:rPr>
          <w:rFonts w:ascii="Times New Roman" w:hAnsi="Times New Roman"/>
          <w:sz w:val="22"/>
          <w:szCs w:val="22"/>
        </w:rPr>
        <w:t>]  Also</w:t>
      </w:r>
      <w:proofErr w:type="gramEnd"/>
      <w:r w:rsidRPr="00C24E5A">
        <w:rPr>
          <w:rFonts w:ascii="Times New Roman" w:hAnsi="Times New Roman"/>
          <w:sz w:val="22"/>
          <w:szCs w:val="22"/>
        </w:rPr>
        <w:t xml:space="preserve">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54E489EA"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 xml:space="preserve">Select </w:t>
      </w:r>
      <w:r w:rsidR="00B82C01" w:rsidRPr="00F433D2">
        <w:rPr>
          <w:rFonts w:ascii="Times New Roman" w:hAnsi="Times New Roman"/>
          <w:sz w:val="22"/>
          <w:szCs w:val="22"/>
        </w:rPr>
        <w:t xml:space="preserve">a </w:t>
      </w:r>
      <w:r w:rsidR="00FA33DF" w:rsidRPr="00F433D2">
        <w:rPr>
          <w:rFonts w:ascii="Times New Roman" w:hAnsi="Times New Roman"/>
          <w:sz w:val="22"/>
          <w:szCs w:val="22"/>
        </w:rPr>
        <w:t xml:space="preserve">representative group of disbursements </w:t>
      </w:r>
      <w:r w:rsidRPr="00D604F7">
        <w:rPr>
          <w:rFonts w:ascii="Times New Roman" w:hAnsi="Times New Roman"/>
          <w:sz w:val="22"/>
          <w:szCs w:val="22"/>
        </w:rPr>
        <w:t>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7777777" w:rsidR="00D604F7" w:rsidRPr="005B5EE2" w:rsidRDefault="00523FFF"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14:paraId="3B5A5587" w14:textId="77777777" w:rsidR="00D604F7" w:rsidRPr="005B5EE2" w:rsidRDefault="00D604F7"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lastRenderedPageBreak/>
        <w:t>the</w:t>
      </w:r>
      <w:proofErr w:type="gramEnd"/>
      <w:r w:rsidRPr="005B5EE2">
        <w:rPr>
          <w:rFonts w:ascii="Times New Roman" w:hAnsi="Times New Roman"/>
          <w:sz w:val="22"/>
          <w:szCs w:val="22"/>
        </w:rPr>
        <w:t xml:space="preserv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Please note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250284BB" w:rsidR="00D604F7" w:rsidRPr="005B5EE2" w:rsidRDefault="00D604F7"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whether</w:t>
      </w:r>
      <w:proofErr w:type="gramEnd"/>
      <w:r w:rsidRPr="005B5EE2">
        <w:rPr>
          <w:rFonts w:ascii="Times New Roman" w:hAnsi="Times New Roman"/>
          <w:sz w:val="22"/>
          <w:szCs w:val="22"/>
        </w:rPr>
        <w:t xml:space="preserve"> other (i.e. non confidential)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that</w:t>
      </w:r>
      <w:proofErr w:type="gramEnd"/>
      <w:r w:rsidRPr="005B5EE2">
        <w:rPr>
          <w:rFonts w:ascii="Times New Roman" w:hAnsi="Times New Roman"/>
          <w:sz w:val="22"/>
          <w:szCs w:val="22"/>
        </w:rPr>
        <w:t xml:space="preserve">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013F1A">
      <w:pPr>
        <w:pStyle w:val="ListParagraph"/>
        <w:numPr>
          <w:ilvl w:val="0"/>
          <w:numId w:val="28"/>
        </w:numPr>
        <w:ind w:left="720"/>
        <w:jc w:val="both"/>
        <w:rPr>
          <w:rFonts w:ascii="Times New Roman" w:hAnsi="Times New Roman"/>
          <w:sz w:val="22"/>
          <w:szCs w:val="22"/>
        </w:rPr>
      </w:pPr>
      <w:proofErr w:type="gramStart"/>
      <w:r w:rsidRPr="005B5EE2">
        <w:rPr>
          <w:rFonts w:ascii="Times New Roman" w:hAnsi="Times New Roman"/>
          <w:sz w:val="22"/>
          <w:szCs w:val="22"/>
        </w:rPr>
        <w:t>whether</w:t>
      </w:r>
      <w:proofErr w:type="gramEnd"/>
      <w:r w:rsidRPr="005B5EE2">
        <w:rPr>
          <w:rFonts w:ascii="Times New Roman" w:hAnsi="Times New Roman"/>
          <w:sz w:val="22"/>
          <w:szCs w:val="22"/>
        </w:rPr>
        <w:t xml:space="preserve">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1"/>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8840968" w14:textId="193DC7D1"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8" w:name="_Toc465258716"/>
      <w:bookmarkStart w:id="49" w:name="_Toc56760223"/>
      <w:r w:rsidRPr="006F4F2B">
        <w:rPr>
          <w:rFonts w:ascii="Times New Roman" w:hAnsi="Times New Roman"/>
          <w:i/>
          <w:color w:val="auto"/>
          <w:sz w:val="22"/>
          <w:szCs w:val="22"/>
        </w:rPr>
        <w:lastRenderedPageBreak/>
        <w:t>TOWNSHIPS</w:t>
      </w:r>
      <w:bookmarkEnd w:id="48"/>
      <w:bookmarkEnd w:id="49"/>
    </w:p>
    <w:p w14:paraId="4C699899" w14:textId="77777777" w:rsidR="006B2CE8" w:rsidRDefault="006B2CE8" w:rsidP="00863F0D">
      <w:pPr>
        <w:widowControl w:val="0"/>
        <w:jc w:val="both"/>
        <w:rPr>
          <w:rFonts w:ascii="Times New Roman" w:hAnsi="Times New Roman"/>
          <w:b/>
          <w:sz w:val="22"/>
          <w:szCs w:val="22"/>
        </w:rPr>
      </w:pPr>
    </w:p>
    <w:p w14:paraId="0A0FF9CE" w14:textId="25E04325" w:rsidR="00863F0D" w:rsidRPr="006F4F2B" w:rsidRDefault="00E87816" w:rsidP="00723519">
      <w:pPr>
        <w:pStyle w:val="Heading3"/>
        <w:spacing w:before="0"/>
        <w:jc w:val="both"/>
        <w:rPr>
          <w:rFonts w:ascii="Times New Roman" w:hAnsi="Times New Roman"/>
          <w:b w:val="0"/>
          <w:color w:val="auto"/>
          <w:sz w:val="22"/>
          <w:szCs w:val="22"/>
        </w:rPr>
      </w:pPr>
      <w:bookmarkStart w:id="50" w:name="_Toc465258717"/>
      <w:bookmarkStart w:id="51" w:name="_Toc56760224"/>
      <w:r w:rsidRPr="006F4F2B">
        <w:rPr>
          <w:rFonts w:ascii="Times New Roman" w:hAnsi="Times New Roman"/>
          <w:color w:val="auto"/>
          <w:sz w:val="22"/>
          <w:szCs w:val="22"/>
        </w:rPr>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65163D">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50"/>
      <w:bookmarkEnd w:id="51"/>
      <w:r w:rsidR="00863F0D" w:rsidRPr="006F4F2B">
        <w:rPr>
          <w:rFonts w:ascii="Times New Roman" w:hAnsi="Times New Roman"/>
          <w:b w:val="0"/>
          <w:color w:val="auto"/>
          <w:sz w:val="22"/>
          <w:szCs w:val="22"/>
        </w:rPr>
        <w:t xml:space="preserve">  </w:t>
      </w:r>
    </w:p>
    <w:p w14:paraId="21EF0D9C" w14:textId="77777777" w:rsidR="00863F0D" w:rsidRPr="00C24E5A" w:rsidRDefault="00863F0D" w:rsidP="00863F0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77777777"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77777777"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72533C" w:rsidRPr="000D2878">
        <w:rPr>
          <w:rFonts w:ascii="Times New Roman" w:hAnsi="Times New Roman"/>
          <w:sz w:val="22"/>
          <w:szCs w:val="22"/>
        </w:rPr>
        <w:t xml:space="preserve"> Century Cures Act, amends the ACA effective January 1, 2017</w:t>
      </w:r>
      <w:bookmarkStart w:id="52" w:name="_Ref489370318"/>
      <w:r w:rsidR="0072533C" w:rsidRPr="000D2878">
        <w:rPr>
          <w:rStyle w:val="FootnoteReference"/>
          <w:rFonts w:ascii="Times New Roman" w:hAnsi="Times New Roman"/>
          <w:sz w:val="22"/>
          <w:szCs w:val="22"/>
        </w:rPr>
        <w:footnoteReference w:id="17"/>
      </w:r>
      <w:bookmarkEnd w:id="52"/>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8"/>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provided uniformly to all eligible employees;</w:t>
      </w:r>
    </w:p>
    <w:p w14:paraId="24C71C3D"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funded solely by the eligible employer;</w:t>
      </w:r>
    </w:p>
    <w:p w14:paraId="05930BE2"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059154D0"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F4577C">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F4577C">
        <w:rPr>
          <w:rFonts w:ascii="Times New Roman" w:hAnsi="Times New Roman"/>
          <w:sz w:val="22"/>
          <w:szCs w:val="22"/>
        </w:rPr>
        <w:t>See AOS Bulletin 2015-00</w:t>
      </w:r>
      <w:r w:rsidR="00EB1C5B">
        <w:rPr>
          <w:rFonts w:ascii="Times New Roman" w:hAnsi="Times New Roman"/>
          <w:sz w:val="22"/>
          <w:szCs w:val="22"/>
        </w:rPr>
        <w:t>2,</w:t>
      </w:r>
      <w:r w:rsidRPr="00F4577C">
        <w:rPr>
          <w:rFonts w:ascii="Times New Roman" w:hAnsi="Times New Roman"/>
          <w:sz w:val="22"/>
          <w:szCs w:val="22"/>
        </w:rPr>
        <w:t xml:space="preserve"> 2015 Op. Att</w:t>
      </w:r>
      <w:r w:rsidR="006579AE">
        <w:rPr>
          <w:rFonts w:ascii="Times New Roman" w:hAnsi="Times New Roman"/>
          <w:sz w:val="22"/>
          <w:szCs w:val="22"/>
        </w:rPr>
        <w:t>’</w:t>
      </w:r>
      <w:r w:rsidRPr="00F4577C">
        <w:rPr>
          <w:rFonts w:ascii="Times New Roman" w:hAnsi="Times New Roman"/>
          <w:sz w:val="22"/>
          <w:szCs w:val="22"/>
        </w:rPr>
        <w:t>y. Gen. No. 2015-021</w:t>
      </w:r>
      <w:r w:rsidR="00EB1C5B">
        <w:rPr>
          <w:rFonts w:ascii="Times New Roman" w:hAnsi="Times New Roman"/>
          <w:sz w:val="22"/>
          <w:szCs w:val="22"/>
        </w:rPr>
        <w:t xml:space="preserve">, </w:t>
      </w:r>
      <w:r w:rsidR="00EB1C5B" w:rsidRPr="000D2878">
        <w:rPr>
          <w:rFonts w:ascii="Times New Roman" w:hAnsi="Times New Roman"/>
          <w:sz w:val="22"/>
          <w:szCs w:val="22"/>
        </w:rPr>
        <w:t>and 2017 Op. Att</w:t>
      </w:r>
      <w:r w:rsidR="006579AE">
        <w:rPr>
          <w:rFonts w:ascii="Times New Roman" w:hAnsi="Times New Roman"/>
          <w:sz w:val="22"/>
          <w:szCs w:val="22"/>
        </w:rPr>
        <w:t>’</w:t>
      </w:r>
      <w:r w:rsidR="00EB1C5B" w:rsidRPr="000D2878">
        <w:rPr>
          <w:rFonts w:ascii="Times New Roman" w:hAnsi="Times New Roman"/>
          <w:sz w:val="22"/>
          <w:szCs w:val="22"/>
        </w:rPr>
        <w:t>y. Gen. No. 2017-026</w:t>
      </w:r>
      <w:r w:rsidRPr="00F4577C">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4D7D853C" w:rsidR="00863F0D" w:rsidRPr="00BE196C" w:rsidRDefault="009F3FE1"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001F0911">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001F0911">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001F0911">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 xml:space="preserve">Ohio Rev. Code </w:t>
      </w:r>
      <w:r w:rsidR="001F0911">
        <w:rPr>
          <w:rFonts w:ascii="Times New Roman" w:hAnsi="Times New Roman"/>
          <w:sz w:val="22"/>
          <w:szCs w:val="22"/>
        </w:rPr>
        <w:t xml:space="preserve">§ </w:t>
      </w:r>
      <w:r w:rsidR="00863F0D" w:rsidRPr="003B649D">
        <w:rPr>
          <w:rFonts w:ascii="Times New Roman" w:hAnsi="Times New Roman"/>
          <w:sz w:val="22"/>
          <w:szCs w:val="22"/>
        </w:rPr>
        <w:t>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w:t>
      </w:r>
      <w:r w:rsidR="00863F0D">
        <w:rPr>
          <w:rFonts w:ascii="Times New Roman" w:hAnsi="Times New Roman"/>
          <w:sz w:val="22"/>
          <w:szCs w:val="22"/>
        </w:rPr>
        <w:lastRenderedPageBreak/>
        <w:t>care insurance</w:t>
      </w:r>
      <w:r w:rsidR="004D082E" w:rsidRPr="00604454">
        <w:rPr>
          <w:rStyle w:val="FootnoteReference"/>
          <w:rFonts w:ascii="Times New Roman" w:hAnsi="Times New Roman"/>
          <w:sz w:val="22"/>
          <w:szCs w:val="22"/>
        </w:rPr>
        <w:footnoteReference w:id="19"/>
      </w:r>
      <w:r w:rsidR="00863F0D" w:rsidRPr="00604454">
        <w:rPr>
          <w:rFonts w:ascii="Times New Roman" w:hAnsi="Times New Roman"/>
          <w:sz w:val="22"/>
          <w:szCs w:val="22"/>
        </w:rPr>
        <w:t xml:space="preserve">. The reimbursement is permitted for a township officer or employee who is </w:t>
      </w:r>
      <w:r w:rsidR="00863F0D" w:rsidRPr="00604454">
        <w:rPr>
          <w:rFonts w:ascii="Times New Roman" w:hAnsi="Times New Roman"/>
          <w:sz w:val="22"/>
          <w:szCs w:val="22"/>
          <w:u w:val="single"/>
        </w:rPr>
        <w:t>denied</w:t>
      </w:r>
      <w:r w:rsidR="00863F0D" w:rsidRPr="00604454">
        <w:rPr>
          <w:rFonts w:ascii="Times New Roman" w:hAnsi="Times New Roman"/>
          <w:sz w:val="22"/>
          <w:szCs w:val="22"/>
        </w:rPr>
        <w:t xml:space="preserve"> coverage under a township health care plan established pursuant to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 xml:space="preserve">505.60, </w:t>
      </w:r>
      <w:r w:rsidR="00863F0D" w:rsidRPr="00604454">
        <w:rPr>
          <w:rFonts w:ascii="Times New Roman" w:hAnsi="Times New Roman"/>
          <w:b/>
          <w:sz w:val="22"/>
          <w:szCs w:val="22"/>
        </w:rPr>
        <w:t>or</w:t>
      </w:r>
      <w:r w:rsidR="00863F0D" w:rsidRPr="00604454">
        <w:rPr>
          <w:rFonts w:ascii="Times New Roman" w:hAnsi="Times New Roman"/>
          <w:sz w:val="22"/>
          <w:szCs w:val="22"/>
        </w:rPr>
        <w:t xml:space="preserve"> who </w:t>
      </w:r>
      <w:r w:rsidR="00863F0D" w:rsidRPr="00604454">
        <w:rPr>
          <w:rFonts w:ascii="Times New Roman" w:hAnsi="Times New Roman"/>
          <w:sz w:val="22"/>
          <w:szCs w:val="22"/>
          <w:u w:val="single"/>
        </w:rPr>
        <w:t>elects</w:t>
      </w:r>
      <w:r w:rsidR="00863F0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505.60(A).  The reimbursement for t</w:t>
      </w:r>
      <w:r w:rsidR="009514E8" w:rsidRPr="00604454">
        <w:rPr>
          <w:rFonts w:ascii="Times New Roman" w:hAnsi="Times New Roman"/>
          <w:sz w:val="22"/>
          <w:szCs w:val="22"/>
        </w:rPr>
        <w:t>he officer, employee, and their</w:t>
      </w:r>
      <w:r w:rsidR="00863F0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505.60(D)]</w:t>
      </w:r>
      <w:r w:rsidR="00885F4B" w:rsidRPr="000D2878">
        <w:rPr>
          <w:rFonts w:ascii="Times New Roman" w:hAnsi="Times New Roman"/>
          <w:sz w:val="22"/>
          <w:szCs w:val="22"/>
        </w:rPr>
        <w:t xml:space="preserve"> and cannot be reimbursed for immediate dependents if they elect not to participate in the plan (2017 Op. Att</w:t>
      </w:r>
      <w:r w:rsidR="006579AE">
        <w:rPr>
          <w:rFonts w:ascii="Times New Roman" w:hAnsi="Times New Roman"/>
          <w:sz w:val="22"/>
          <w:szCs w:val="22"/>
        </w:rPr>
        <w:t>’</w:t>
      </w:r>
      <w:r w:rsidR="00885F4B" w:rsidRPr="000D2878">
        <w:rPr>
          <w:rFonts w:ascii="Times New Roman" w:hAnsi="Times New Roman"/>
          <w:sz w:val="22"/>
          <w:szCs w:val="22"/>
        </w:rPr>
        <w:t>y. Gen. No. 2017-007)</w:t>
      </w:r>
      <w:r w:rsidR="00863F0D" w:rsidRPr="000D2878">
        <w:rPr>
          <w:rFonts w:ascii="Times New Roman" w:hAnsi="Times New Roman"/>
          <w:sz w:val="22"/>
          <w:szCs w:val="22"/>
        </w:rPr>
        <w:t>.</w:t>
      </w:r>
      <w:r w:rsidR="00101380" w:rsidRPr="000D2878">
        <w:rPr>
          <w:rFonts w:ascii="Times New Roman" w:hAnsi="Times New Roman"/>
          <w:sz w:val="22"/>
          <w:szCs w:val="22"/>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sz w:val="22"/>
          <w:szCs w:val="22"/>
          <w:vertAlign w:val="superscript"/>
        </w:rPr>
      </w:r>
      <w:r w:rsidR="00101380" w:rsidRPr="000D2878">
        <w:rPr>
          <w:rFonts w:ascii="Times New Roman" w:hAnsi="Times New Roman"/>
          <w:sz w:val="22"/>
          <w:szCs w:val="22"/>
          <w:vertAlign w:val="superscript"/>
        </w:rPr>
        <w:fldChar w:fldCharType="separate"/>
      </w:r>
      <w:r w:rsidR="00A36D21">
        <w:rPr>
          <w:rFonts w:ascii="Times New Roman" w:hAnsi="Times New Roman"/>
          <w:sz w:val="22"/>
          <w:szCs w:val="22"/>
          <w:vertAlign w:val="superscript"/>
        </w:rPr>
        <w:t>17</w:t>
      </w:r>
      <w:r w:rsidR="00101380" w:rsidRPr="000D2878">
        <w:rPr>
          <w:rFonts w:ascii="Times New Roman" w:hAnsi="Times New Roman"/>
          <w:sz w:val="22"/>
          <w:szCs w:val="22"/>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7D983FC6" w14:textId="77777777" w:rsidR="00863F0D" w:rsidRDefault="00863F0D" w:rsidP="00863F0D">
      <w:pPr>
        <w:widowControl w:val="0"/>
        <w:jc w:val="both"/>
        <w:rPr>
          <w:rFonts w:ascii="Times New Roman" w:hAnsi="Times New Roman"/>
          <w:sz w:val="22"/>
          <w:szCs w:val="22"/>
        </w:rPr>
      </w:pP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51946F34" w14:textId="77777777" w:rsidR="00863F0D" w:rsidRDefault="00863F0D"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1C24AFF3" w14:textId="313D137D" w:rsidR="00863F0D" w:rsidRDefault="00863F0D" w:rsidP="00863F0D">
      <w:pPr>
        <w:widowControl w:val="0"/>
        <w:ind w:left="720" w:hanging="720"/>
        <w:jc w:val="both"/>
        <w:rPr>
          <w:rFonts w:ascii="Times New Roman" w:hAnsi="Times New Roman"/>
          <w:sz w:val="22"/>
          <w:szCs w:val="22"/>
        </w:rPr>
      </w:pP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lastRenderedPageBreak/>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3119EF30"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 xml:space="preserve">2005 Op. </w:t>
      </w:r>
      <w:r w:rsidR="00F87B8F">
        <w:rPr>
          <w:rFonts w:ascii="Times New Roman" w:hAnsi="Times New Roman" w:cs="Times New Roman"/>
          <w:b/>
          <w:i/>
          <w:sz w:val="22"/>
          <w:szCs w:val="22"/>
        </w:rPr>
        <w:t>Att’y</w:t>
      </w:r>
      <w:r w:rsidRPr="00B22C83">
        <w:rPr>
          <w:rFonts w:ascii="Times New Roman" w:hAnsi="Times New Roman" w:cs="Times New Roman"/>
          <w:b/>
          <w:i/>
          <w:sz w:val="22"/>
          <w:szCs w:val="22"/>
        </w:rPr>
        <w:t>.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3201A3D4"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 xml:space="preserve">2013 Op. </w:t>
      </w:r>
      <w:r w:rsidR="00F87B8F">
        <w:rPr>
          <w:rFonts w:ascii="Times New Roman" w:hAnsi="Times New Roman"/>
          <w:b/>
          <w:i/>
          <w:color w:val="000000"/>
          <w:sz w:val="22"/>
          <w:szCs w:val="22"/>
        </w:rPr>
        <w:t>Att’y</w:t>
      </w:r>
      <w:r w:rsidRPr="00C24E5A">
        <w:rPr>
          <w:rFonts w:ascii="Times New Roman" w:hAnsi="Times New Roman"/>
          <w:b/>
          <w:i/>
          <w:color w:val="000000"/>
          <w:sz w:val="22"/>
          <w:szCs w:val="22"/>
        </w:rPr>
        <w:t>.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04D71DEB" w14:textId="77777777" w:rsidR="00863F0D" w:rsidRDefault="00863F0D" w:rsidP="00863F0D">
      <w:pPr>
        <w:widowControl w:val="0"/>
        <w:jc w:val="both"/>
        <w:rPr>
          <w:rFonts w:ascii="Times New Roman" w:hAnsi="Times New Roman"/>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34EC86A" w14:textId="77777777" w:rsidR="00407BA4" w:rsidRPr="00F4577C" w:rsidRDefault="00407BA4" w:rsidP="00723519">
      <w:pPr>
        <w:pStyle w:val="ListParagraph"/>
        <w:jc w:val="both"/>
        <w:rPr>
          <w:rFonts w:ascii="Times New Roman" w:hAnsi="Times New Roman"/>
          <w:sz w:val="22"/>
          <w:szCs w:val="22"/>
        </w:rPr>
      </w:pPr>
    </w:p>
    <w:p w14:paraId="406B6AF1" w14:textId="77777777"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77777777" w:rsidR="00863F0D"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2B2926FD" w:rsidR="00407BA4" w:rsidRPr="003E2F15" w:rsidRDefault="00407BA4" w:rsidP="000D6CDB">
      <w:pPr>
        <w:pStyle w:val="ListParagraph"/>
        <w:widowControl w:val="0"/>
        <w:numPr>
          <w:ilvl w:val="0"/>
          <w:numId w:val="15"/>
        </w:numPr>
        <w:ind w:left="360"/>
        <w:jc w:val="both"/>
        <w:rPr>
          <w:rFonts w:ascii="Times New Roman" w:hAnsi="Times New Roman"/>
          <w:sz w:val="22"/>
          <w:szCs w:val="22"/>
        </w:rPr>
      </w:pPr>
      <w:r w:rsidRPr="003E2F15">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F87B8F">
        <w:rPr>
          <w:rFonts w:ascii="Times New Roman" w:hAnsi="Times New Roman"/>
          <w:bCs/>
          <w:sz w:val="22"/>
          <w:szCs w:val="22"/>
        </w:rPr>
        <w:t xml:space="preserve"> plan, see </w:t>
      </w:r>
      <w:r w:rsidR="00EC530F">
        <w:rPr>
          <w:rFonts w:ascii="Times New Roman" w:hAnsi="Times New Roman"/>
          <w:bCs/>
          <w:sz w:val="22"/>
          <w:szCs w:val="22"/>
        </w:rPr>
        <w:t xml:space="preserve">OCS </w:t>
      </w:r>
      <w:r w:rsidR="00F87B8F">
        <w:rPr>
          <w:rFonts w:ascii="Times New Roman" w:hAnsi="Times New Roman"/>
          <w:bCs/>
          <w:sz w:val="22"/>
          <w:szCs w:val="22"/>
        </w:rPr>
        <w:t>section</w:t>
      </w:r>
      <w:r w:rsidR="00EC530F">
        <w:rPr>
          <w:rFonts w:ascii="Times New Roman" w:hAnsi="Times New Roman"/>
          <w:bCs/>
          <w:sz w:val="22"/>
          <w:szCs w:val="22"/>
        </w:rPr>
        <w:t xml:space="preserve"> 3-16</w:t>
      </w:r>
      <w:r w:rsidR="00252155" w:rsidRPr="003E2F15">
        <w:rPr>
          <w:rFonts w:ascii="Times New Roman" w:hAnsi="Times New Roman"/>
          <w:sz w:val="22"/>
          <w:szCs w:val="22"/>
        </w:rPr>
        <w:t>.</w:t>
      </w:r>
    </w:p>
    <w:p w14:paraId="188399BD" w14:textId="78AFA2F6" w:rsidR="00B22C83" w:rsidRDefault="00B22C83" w:rsidP="00863F0D">
      <w:pPr>
        <w:widowControl w:val="0"/>
        <w:jc w:val="both"/>
        <w:rPr>
          <w:rFonts w:ascii="Times New Roman" w:hAnsi="Times New Roman"/>
          <w:sz w:val="22"/>
          <w:szCs w:val="22"/>
        </w:rPr>
      </w:pPr>
    </w:p>
    <w:p w14:paraId="050BA969" w14:textId="7794AA4C" w:rsidR="00040FF3" w:rsidRDefault="00040FF3" w:rsidP="00863F0D">
      <w:pPr>
        <w:widowControl w:val="0"/>
        <w:jc w:val="both"/>
        <w:rPr>
          <w:rFonts w:ascii="Times New Roman" w:hAnsi="Times New Roman"/>
          <w:sz w:val="22"/>
          <w:szCs w:val="22"/>
        </w:rPr>
      </w:pPr>
    </w:p>
    <w:p w14:paraId="1D560B5D" w14:textId="490911AB" w:rsidR="00040FF3" w:rsidRDefault="00040FF3" w:rsidP="00863F0D">
      <w:pPr>
        <w:widowControl w:val="0"/>
        <w:jc w:val="both"/>
        <w:rPr>
          <w:rFonts w:ascii="Times New Roman" w:hAnsi="Times New Roman"/>
          <w:sz w:val="22"/>
          <w:szCs w:val="22"/>
        </w:rPr>
      </w:pPr>
    </w:p>
    <w:p w14:paraId="7BF79A12" w14:textId="68F650D5" w:rsidR="00040FF3" w:rsidRDefault="00040FF3" w:rsidP="00863F0D">
      <w:pPr>
        <w:widowControl w:val="0"/>
        <w:jc w:val="both"/>
        <w:rPr>
          <w:rFonts w:ascii="Times New Roman" w:hAnsi="Times New Roman"/>
          <w:sz w:val="22"/>
          <w:szCs w:val="22"/>
        </w:rPr>
      </w:pPr>
    </w:p>
    <w:p w14:paraId="4C87E028" w14:textId="77777777" w:rsidR="00040FF3" w:rsidRDefault="00040FF3" w:rsidP="00863F0D">
      <w:pPr>
        <w:widowControl w:val="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1EFA15D2"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23CE43"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2"/>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790E75BD" w14:textId="77777777" w:rsidR="002601CE" w:rsidRPr="00604454" w:rsidRDefault="002601CE" w:rsidP="002601CE">
      <w:pPr>
        <w:pStyle w:val="Heading1"/>
        <w:shd w:val="clear" w:color="auto" w:fill="BFBFBF" w:themeFill="background1" w:themeFillShade="BF"/>
        <w:spacing w:before="0"/>
        <w:jc w:val="center"/>
        <w:rPr>
          <w:rFonts w:ascii="Times New Roman" w:hAnsi="Times New Roman"/>
          <w:i/>
          <w:color w:val="auto"/>
          <w:sz w:val="22"/>
          <w:szCs w:val="22"/>
        </w:rPr>
      </w:pPr>
      <w:bookmarkStart w:id="53" w:name="_Toc465258721"/>
      <w:bookmarkStart w:id="54" w:name="_Toc56760225"/>
      <w:bookmarkStart w:id="55" w:name="Section_3_16"/>
      <w:bookmarkStart w:id="56" w:name="_Toc465258718"/>
      <w:r w:rsidRPr="008A64FC">
        <w:rPr>
          <w:rFonts w:ascii="Times New Roman" w:hAnsi="Times New Roman"/>
          <w:i/>
          <w:color w:val="auto"/>
          <w:sz w:val="22"/>
          <w:szCs w:val="22"/>
        </w:rPr>
        <w:lastRenderedPageBreak/>
        <w:t>COUNTIES, MUNICIPALITIES &amp; TOWNSHIPS</w:t>
      </w:r>
      <w:bookmarkEnd w:id="53"/>
      <w:bookmarkEnd w:id="54"/>
    </w:p>
    <w:p w14:paraId="3AC7DBCE" w14:textId="77777777" w:rsidR="002601CE" w:rsidRPr="00A021E6" w:rsidRDefault="002601CE" w:rsidP="002601CE">
      <w:pPr>
        <w:jc w:val="both"/>
        <w:rPr>
          <w:rFonts w:ascii="Times New Roman" w:hAnsi="Times New Roman"/>
          <w:b/>
          <w:sz w:val="22"/>
          <w:szCs w:val="22"/>
        </w:rPr>
      </w:pPr>
    </w:p>
    <w:p w14:paraId="15593880" w14:textId="4C87B978" w:rsidR="00D7559F" w:rsidRPr="008B59F5" w:rsidRDefault="00D7559F" w:rsidP="00D7559F">
      <w:pPr>
        <w:pStyle w:val="Heading3"/>
        <w:spacing w:before="0"/>
        <w:jc w:val="both"/>
        <w:rPr>
          <w:rFonts w:ascii="Times New Roman" w:hAnsi="Times New Roman"/>
          <w:color w:val="auto"/>
          <w:sz w:val="22"/>
          <w:szCs w:val="22"/>
        </w:rPr>
      </w:pPr>
      <w:bookmarkStart w:id="57" w:name="_Ref31117942"/>
      <w:bookmarkStart w:id="58" w:name="_Ref31117951"/>
      <w:bookmarkStart w:id="59" w:name="_Toc56760226"/>
      <w:r w:rsidRPr="006F4F2B">
        <w:rPr>
          <w:rFonts w:ascii="Times New Roman" w:hAnsi="Times New Roman"/>
          <w:color w:val="auto"/>
          <w:sz w:val="22"/>
          <w:szCs w:val="22"/>
        </w:rPr>
        <w:t>3-</w:t>
      </w:r>
      <w:r>
        <w:rPr>
          <w:rFonts w:ascii="Times New Roman" w:hAnsi="Times New Roman"/>
          <w:color w:val="auto"/>
          <w:sz w:val="22"/>
          <w:szCs w:val="22"/>
        </w:rPr>
        <w:t>16</w:t>
      </w:r>
      <w:bookmarkEnd w:id="55"/>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Pr>
          <w:rFonts w:ascii="Times New Roman" w:hAnsi="Times New Roman"/>
          <w:b w:val="0"/>
          <w:color w:val="auto"/>
          <w:sz w:val="22"/>
          <w:szCs w:val="22"/>
        </w:rPr>
        <w:t xml:space="preserve">§ </w:t>
      </w:r>
      <w:r w:rsidR="001B1503" w:rsidRPr="008B59F5">
        <w:rPr>
          <w:rFonts w:ascii="Times New Roman" w:hAnsi="Times New Roman"/>
          <w:b w:val="0"/>
          <w:color w:val="auto"/>
          <w:sz w:val="22"/>
          <w:szCs w:val="22"/>
        </w:rPr>
        <w:t xml:space="preserve">305.171 </w:t>
      </w:r>
      <w:r w:rsidR="00585A31">
        <w:rPr>
          <w:rFonts w:ascii="Times New Roman" w:hAnsi="Times New Roman"/>
          <w:b w:val="0"/>
          <w:color w:val="auto"/>
          <w:sz w:val="22"/>
          <w:szCs w:val="22"/>
        </w:rPr>
        <w:t>and</w:t>
      </w:r>
      <w:r w:rsidR="001B1503" w:rsidRPr="008B59F5">
        <w:rPr>
          <w:rFonts w:ascii="Times New Roman" w:hAnsi="Times New Roman"/>
          <w:b w:val="0"/>
          <w:color w:val="auto"/>
          <w:sz w:val="22"/>
          <w:szCs w:val="22"/>
        </w:rPr>
        <w:t xml:space="preserve"> </w:t>
      </w:r>
      <w:r w:rsidRPr="008B59F5">
        <w:rPr>
          <w:rFonts w:ascii="Times New Roman" w:hAnsi="Times New Roman"/>
          <w:b w:val="0"/>
          <w:color w:val="auto"/>
          <w:sz w:val="22"/>
          <w:szCs w:val="22"/>
        </w:rPr>
        <w:t>505.603</w:t>
      </w:r>
      <w:r w:rsidRPr="008B59F5">
        <w:rPr>
          <w:rStyle w:val="FootnoteReference"/>
          <w:rFonts w:ascii="Times New Roman" w:hAnsi="Times New Roman"/>
          <w:b w:val="0"/>
          <w:color w:val="auto"/>
          <w:sz w:val="22"/>
          <w:szCs w:val="22"/>
        </w:rPr>
        <w:footnoteReference w:id="20"/>
      </w:r>
      <w:r w:rsidRPr="008B59F5">
        <w:rPr>
          <w:rFonts w:ascii="Times New Roman" w:hAnsi="Times New Roman"/>
          <w:b w:val="0"/>
          <w:color w:val="auto"/>
          <w:sz w:val="22"/>
          <w:szCs w:val="22"/>
        </w:rPr>
        <w:t xml:space="preserve"> - “Cafeteria Plans”</w:t>
      </w:r>
      <w:r w:rsidRPr="008B59F5">
        <w:rPr>
          <w:rStyle w:val="FootnoteReference"/>
          <w:rFonts w:ascii="Times New Roman" w:hAnsi="Times New Roman"/>
          <w:b w:val="0"/>
          <w:color w:val="auto"/>
          <w:sz w:val="22"/>
          <w:szCs w:val="22"/>
        </w:rPr>
        <w:footnoteReference w:id="21"/>
      </w:r>
      <w:bookmarkEnd w:id="56"/>
      <w:bookmarkEnd w:id="57"/>
      <w:bookmarkEnd w:id="58"/>
      <w:bookmarkEnd w:id="59"/>
    </w:p>
    <w:p w14:paraId="4B8EFDE0" w14:textId="77777777" w:rsidR="00206D34" w:rsidRPr="008B59F5" w:rsidRDefault="00206D34" w:rsidP="00206D34">
      <w:pPr>
        <w:widowControl w:val="0"/>
        <w:jc w:val="both"/>
        <w:rPr>
          <w:rFonts w:ascii="Times New Roman" w:hAnsi="Times New Roman"/>
          <w:sz w:val="22"/>
          <w:szCs w:val="22"/>
        </w:rPr>
      </w:pPr>
    </w:p>
    <w:p w14:paraId="07CB8D70" w14:textId="77777777" w:rsidR="00D34B7B" w:rsidRPr="008B59F5" w:rsidRDefault="00206D34" w:rsidP="00206D34">
      <w:pPr>
        <w:widowControl w:val="0"/>
        <w:jc w:val="both"/>
        <w:rPr>
          <w:rFonts w:ascii="Times New Roman" w:hAnsi="Times New Roman"/>
          <w:b/>
          <w:sz w:val="22"/>
          <w:szCs w:val="22"/>
        </w:rPr>
      </w:pPr>
      <w:r w:rsidRPr="008B59F5">
        <w:rPr>
          <w:rFonts w:ascii="Times New Roman" w:hAnsi="Times New Roman"/>
          <w:b/>
          <w:sz w:val="22"/>
          <w:szCs w:val="22"/>
        </w:rPr>
        <w:t xml:space="preserve">Summary of Requirements: </w:t>
      </w:r>
    </w:p>
    <w:p w14:paraId="562C4087" w14:textId="77777777" w:rsidR="007938CC" w:rsidRPr="008B59F5" w:rsidRDefault="007938CC" w:rsidP="007938CC">
      <w:pPr>
        <w:widowControl w:val="0"/>
        <w:jc w:val="both"/>
        <w:rPr>
          <w:rFonts w:ascii="Times New Roman" w:hAnsi="Times New Roman"/>
          <w:b/>
          <w:sz w:val="22"/>
          <w:szCs w:val="22"/>
        </w:rPr>
      </w:pPr>
      <w:r w:rsidRPr="003C72B4">
        <w:rPr>
          <w:rFonts w:ascii="Times New Roman" w:hAnsi="Times New Roman"/>
          <w:b/>
          <w:sz w:val="22"/>
          <w:szCs w:val="22"/>
          <w:u w:val="single"/>
        </w:rPr>
        <w:t>Counties</w:t>
      </w:r>
      <w:r w:rsidRPr="008B59F5">
        <w:rPr>
          <w:rStyle w:val="FootnoteReference"/>
          <w:rFonts w:ascii="Times New Roman" w:hAnsi="Times New Roman"/>
          <w:b/>
          <w:sz w:val="22"/>
          <w:szCs w:val="22"/>
        </w:rPr>
        <w:footnoteReference w:id="22"/>
      </w:r>
    </w:p>
    <w:p w14:paraId="43E1812B" w14:textId="11337F56"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 xml:space="preserve">A </w:t>
      </w:r>
      <w:r w:rsidR="00D34B7B" w:rsidRPr="008B59F5">
        <w:rPr>
          <w:rFonts w:ascii="Times New Roman" w:hAnsi="Times New Roman"/>
          <w:sz w:val="22"/>
          <w:szCs w:val="22"/>
        </w:rPr>
        <w:t>board of county commissioners</w:t>
      </w:r>
      <w:r w:rsidRPr="008B59F5">
        <w:rPr>
          <w:rFonts w:ascii="Times New Roman" w:hAnsi="Times New Roman"/>
          <w:sz w:val="22"/>
          <w:szCs w:val="22"/>
        </w:rPr>
        <w:t xml:space="preserve"> may</w:t>
      </w:r>
      <w:r w:rsidR="00D34B7B" w:rsidRPr="008B59F5">
        <w:rPr>
          <w:rFonts w:ascii="Times New Roman" w:hAnsi="Times New Roman"/>
          <w:sz w:val="22"/>
          <w:szCs w:val="22"/>
        </w:rPr>
        <w:t xml:space="preserve"> offer, to a county officer or employee, benefits through a cafeteria plan meeting the requirements of section 125 of the "Internal Revenue Code of 1986," 100 Stat. 2085, 26 </w:t>
      </w:r>
      <w:proofErr w:type="spellStart"/>
      <w:r w:rsidR="00D34B7B" w:rsidRPr="008B59F5">
        <w:rPr>
          <w:rFonts w:ascii="Times New Roman" w:hAnsi="Times New Roman"/>
          <w:sz w:val="22"/>
          <w:szCs w:val="22"/>
        </w:rPr>
        <w:t>U.S.C</w:t>
      </w:r>
      <w:proofErr w:type="spellEnd"/>
      <w:r w:rsidR="00D34B7B" w:rsidRPr="008B59F5">
        <w:rPr>
          <w:rFonts w:ascii="Times New Roman" w:hAnsi="Times New Roman"/>
          <w:sz w:val="22"/>
          <w:szCs w:val="22"/>
        </w:rPr>
        <w:t>. 125, as amended, and, as part of that plan, may offer the county officer or employee the option of receiving a cash payment in any form permissible under such cafeteria plans. A</w:t>
      </w:r>
      <w:r w:rsidRPr="008B59F5">
        <w:rPr>
          <w:rFonts w:ascii="Times New Roman" w:hAnsi="Times New Roman"/>
          <w:sz w:val="22"/>
          <w:szCs w:val="22"/>
        </w:rPr>
        <w:t>ny</w:t>
      </w:r>
      <w:r w:rsidR="00D34B7B" w:rsidRPr="008B59F5">
        <w:rPr>
          <w:rFonts w:ascii="Times New Roman" w:hAnsi="Times New Roman"/>
          <w:sz w:val="22"/>
          <w:szCs w:val="22"/>
        </w:rPr>
        <w:t xml:space="preserve"> cash payment made to a county officer or employee under this </w:t>
      </w:r>
      <w:r w:rsidRPr="008B59F5">
        <w:rPr>
          <w:rFonts w:ascii="Times New Roman" w:hAnsi="Times New Roman"/>
          <w:sz w:val="22"/>
          <w:szCs w:val="22"/>
        </w:rPr>
        <w:t>pro</w:t>
      </w:r>
      <w:r w:rsidR="00D34B7B" w:rsidRPr="008B59F5">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8B59F5">
        <w:rPr>
          <w:rFonts w:ascii="Times New Roman" w:hAnsi="Times New Roman"/>
          <w:sz w:val="22"/>
          <w:szCs w:val="22"/>
        </w:rPr>
        <w:t>the health care</w:t>
      </w:r>
      <w:r w:rsidR="00D34B7B" w:rsidRPr="008B59F5">
        <w:rPr>
          <w:rFonts w:ascii="Times New Roman" w:hAnsi="Times New Roman"/>
          <w:sz w:val="22"/>
          <w:szCs w:val="22"/>
        </w:rPr>
        <w:t xml:space="preserve"> policy or plan</w:t>
      </w:r>
      <w:r w:rsidRPr="008B59F5">
        <w:rPr>
          <w:rFonts w:ascii="Times New Roman" w:hAnsi="Times New Roman"/>
          <w:sz w:val="22"/>
          <w:szCs w:val="22"/>
        </w:rPr>
        <w:t xml:space="preserve"> provided by the county as permitted by Ohio Rev. Code § 305.171(A)</w:t>
      </w:r>
      <w:r w:rsidR="00D34B7B" w:rsidRPr="008B59F5">
        <w:rPr>
          <w:rFonts w:ascii="Times New Roman" w:hAnsi="Times New Roman"/>
          <w:sz w:val="22"/>
          <w:szCs w:val="22"/>
        </w:rPr>
        <w:t>.</w:t>
      </w:r>
    </w:p>
    <w:p w14:paraId="3D25198D" w14:textId="77777777" w:rsidR="00D34B7B" w:rsidRPr="008B59F5" w:rsidRDefault="00D34B7B" w:rsidP="00D34B7B">
      <w:pPr>
        <w:widowControl w:val="0"/>
        <w:jc w:val="both"/>
        <w:rPr>
          <w:rFonts w:ascii="Times New Roman" w:hAnsi="Times New Roman"/>
          <w:sz w:val="22"/>
          <w:szCs w:val="22"/>
        </w:rPr>
      </w:pPr>
    </w:p>
    <w:p w14:paraId="1C97D96C" w14:textId="65C2E649"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w:t>
      </w:r>
      <w:r w:rsidRPr="008B59F5">
        <w:t xml:space="preserve"> </w:t>
      </w:r>
      <w:r w:rsidRPr="008B59F5">
        <w:rPr>
          <w:rFonts w:ascii="Times New Roman" w:hAnsi="Times New Roman"/>
          <w:sz w:val="22"/>
          <w:szCs w:val="22"/>
        </w:rPr>
        <w:t>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8B59F5">
        <w:rPr>
          <w:rFonts w:ascii="Times New Roman" w:hAnsi="Times New Roman"/>
          <w:sz w:val="22"/>
          <w:szCs w:val="22"/>
        </w:rPr>
        <w:t xml:space="preserve"> </w:t>
      </w:r>
      <w:r w:rsidR="00D34B7B" w:rsidRPr="008B59F5">
        <w:rPr>
          <w:rFonts w:ascii="Times New Roman" w:hAnsi="Times New Roman"/>
          <w:sz w:val="22"/>
          <w:szCs w:val="22"/>
        </w:rPr>
        <w:t xml:space="preserve">no cash payment in lieu of a benefit </w:t>
      </w:r>
      <w:r w:rsidRPr="008B59F5">
        <w:rPr>
          <w:rFonts w:ascii="Times New Roman" w:hAnsi="Times New Roman"/>
          <w:sz w:val="22"/>
          <w:szCs w:val="22"/>
        </w:rPr>
        <w:t xml:space="preserve">may </w:t>
      </w:r>
      <w:r w:rsidR="00D34B7B" w:rsidRPr="008B59F5">
        <w:rPr>
          <w:rFonts w:ascii="Times New Roman" w:hAnsi="Times New Roman"/>
          <w:sz w:val="22"/>
          <w:szCs w:val="22"/>
        </w:rPr>
        <w:t xml:space="preserve">be made </w:t>
      </w:r>
      <w:r w:rsidRPr="008B59F5">
        <w:rPr>
          <w:rFonts w:ascii="Times New Roman" w:hAnsi="Times New Roman"/>
          <w:sz w:val="22"/>
          <w:szCs w:val="22"/>
        </w:rPr>
        <w:t xml:space="preserve">under the provision </w:t>
      </w:r>
      <w:r w:rsidR="00D34B7B" w:rsidRPr="008B59F5">
        <w:rPr>
          <w:rFonts w:ascii="Times New Roman" w:hAnsi="Times New Roman"/>
          <w:sz w:val="22"/>
          <w:szCs w:val="22"/>
        </w:rPr>
        <w:t>unless the officer or employee provides a signed statement with the following information:</w:t>
      </w:r>
    </w:p>
    <w:p w14:paraId="087CB398" w14:textId="77777777" w:rsidR="00D34B7B" w:rsidRPr="008B59F5" w:rsidRDefault="00D34B7B" w:rsidP="00D34B7B">
      <w:pPr>
        <w:widowControl w:val="0"/>
        <w:jc w:val="both"/>
        <w:rPr>
          <w:rFonts w:ascii="Times New Roman" w:hAnsi="Times New Roman"/>
          <w:sz w:val="22"/>
          <w:szCs w:val="22"/>
        </w:rPr>
      </w:pPr>
    </w:p>
    <w:p w14:paraId="3302856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an affirmation that the individual is covered under another plan for that type of coverage</w:t>
      </w:r>
    </w:p>
    <w:p w14:paraId="02C4A4F0" w14:textId="77777777" w:rsidR="00D34B7B" w:rsidRPr="008B59F5" w:rsidRDefault="00D34B7B" w:rsidP="00D34B7B">
      <w:pPr>
        <w:widowControl w:val="0"/>
        <w:jc w:val="both"/>
        <w:rPr>
          <w:rFonts w:ascii="Times New Roman" w:hAnsi="Times New Roman"/>
          <w:sz w:val="22"/>
          <w:szCs w:val="22"/>
        </w:rPr>
      </w:pPr>
    </w:p>
    <w:p w14:paraId="4CF8453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employer (if any) that sponsors the coverage</w:t>
      </w:r>
    </w:p>
    <w:p w14:paraId="6B84561D" w14:textId="77777777" w:rsidR="00D34B7B" w:rsidRPr="008B59F5" w:rsidRDefault="00D34B7B" w:rsidP="00D34B7B">
      <w:pPr>
        <w:widowControl w:val="0"/>
        <w:jc w:val="both"/>
        <w:rPr>
          <w:rFonts w:ascii="Times New Roman" w:hAnsi="Times New Roman"/>
          <w:sz w:val="22"/>
          <w:szCs w:val="22"/>
        </w:rPr>
      </w:pPr>
    </w:p>
    <w:p w14:paraId="4EE88AC0"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carrier that provides the coverage</w:t>
      </w:r>
    </w:p>
    <w:p w14:paraId="4A1FB719" w14:textId="77777777" w:rsidR="00D34B7B" w:rsidRPr="008B59F5" w:rsidRDefault="00D34B7B" w:rsidP="00D34B7B">
      <w:pPr>
        <w:widowControl w:val="0"/>
        <w:jc w:val="both"/>
        <w:rPr>
          <w:rFonts w:ascii="Times New Roman" w:hAnsi="Times New Roman"/>
          <w:sz w:val="22"/>
          <w:szCs w:val="22"/>
        </w:rPr>
      </w:pPr>
    </w:p>
    <w:p w14:paraId="3DC021A2"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policy or plan number for the coverage</w:t>
      </w:r>
    </w:p>
    <w:p w14:paraId="35D92167" w14:textId="77777777" w:rsidR="00D34B7B" w:rsidRPr="008B59F5" w:rsidRDefault="00D34B7B" w:rsidP="00D34B7B">
      <w:pPr>
        <w:widowControl w:val="0"/>
        <w:jc w:val="both"/>
        <w:rPr>
          <w:rFonts w:ascii="Times New Roman" w:hAnsi="Times New Roman"/>
          <w:sz w:val="22"/>
          <w:szCs w:val="22"/>
        </w:rPr>
      </w:pP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lastRenderedPageBreak/>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302A9D03" w:rsidR="000973CD" w:rsidRDefault="000973CD" w:rsidP="00206D34">
      <w:pPr>
        <w:widowControl w:val="0"/>
        <w:jc w:val="both"/>
        <w:rPr>
          <w:rFonts w:ascii="Times New Roman" w:hAnsi="Times New Roman"/>
          <w:b/>
          <w:sz w:val="22"/>
          <w:szCs w:val="22"/>
        </w:rPr>
      </w:pPr>
    </w:p>
    <w:p w14:paraId="6DD64032" w14:textId="77777777" w:rsidR="00382F25" w:rsidRPr="00D604F7" w:rsidRDefault="00382F25"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FA69EF">
        <w:rPr>
          <w:rFonts w:ascii="Times New Roman" w:hAnsi="Times New Roman"/>
          <w:sz w:val="22"/>
          <w:szCs w:val="22"/>
          <w:u w:val="wave"/>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Pr="00E00758" w:rsidRDefault="00206D34" w:rsidP="00013F1A">
      <w:pPr>
        <w:pStyle w:val="ListParagraph"/>
        <w:widowControl w:val="0"/>
        <w:numPr>
          <w:ilvl w:val="0"/>
          <w:numId w:val="21"/>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44C0F333" w14:textId="77777777" w:rsidR="00206D34" w:rsidRDefault="00206D34" w:rsidP="00206D34">
      <w:pPr>
        <w:widowControl w:val="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3"/>
          <w:type w:val="continuous"/>
          <w:pgSz w:w="12240" w:h="15840"/>
          <w:pgMar w:top="1440" w:right="1440" w:bottom="1440" w:left="1440" w:header="720" w:footer="720" w:gutter="0"/>
          <w:cols w:space="720"/>
          <w:docGrid w:linePitch="360"/>
        </w:sectPr>
      </w:pPr>
    </w:p>
    <w:p w14:paraId="01074FEA" w14:textId="77777777" w:rsidR="00264E0A" w:rsidRDefault="00264E0A">
      <w:pPr>
        <w:spacing w:after="200" w:line="276" w:lineRule="auto"/>
        <w:rPr>
          <w:rFonts w:ascii="Times New Roman" w:eastAsiaTheme="majorEastAsia" w:hAnsi="Times New Roman" w:cstheme="majorBidi"/>
          <w:b/>
          <w:bCs/>
          <w:sz w:val="22"/>
          <w:szCs w:val="22"/>
        </w:rPr>
      </w:pPr>
      <w:r>
        <w:rPr>
          <w:rFonts w:ascii="Times New Roman" w:hAnsi="Times New Roman"/>
          <w:sz w:val="22"/>
          <w:szCs w:val="22"/>
        </w:rPr>
        <w:br w:type="page"/>
      </w:r>
    </w:p>
    <w:p w14:paraId="62FDE363" w14:textId="1F01247A" w:rsidR="00A75909" w:rsidRPr="004D588D" w:rsidRDefault="00555887" w:rsidP="00A75909">
      <w:pPr>
        <w:pStyle w:val="Heading3"/>
        <w:tabs>
          <w:tab w:val="left" w:pos="720"/>
        </w:tabs>
        <w:spacing w:before="0"/>
        <w:jc w:val="both"/>
        <w:rPr>
          <w:rFonts w:ascii="Times New Roman" w:hAnsi="Times New Roman" w:cs="Times New Roman"/>
          <w:color w:val="auto"/>
          <w:sz w:val="22"/>
          <w:szCs w:val="22"/>
        </w:rPr>
      </w:pPr>
      <w:bookmarkStart w:id="60" w:name="_Toc56760227"/>
      <w:r w:rsidRPr="006F4F2B">
        <w:rPr>
          <w:rFonts w:ascii="Times New Roman" w:hAnsi="Times New Roman"/>
          <w:color w:val="auto"/>
          <w:sz w:val="22"/>
          <w:szCs w:val="22"/>
        </w:rPr>
        <w:lastRenderedPageBreak/>
        <w:t>3</w:t>
      </w:r>
      <w:r w:rsidR="00786FD1">
        <w:rPr>
          <w:rFonts w:ascii="Times New Roman" w:hAnsi="Times New Roman"/>
          <w:color w:val="auto"/>
          <w:sz w:val="22"/>
          <w:szCs w:val="22"/>
        </w:rPr>
        <w:t>-17</w:t>
      </w:r>
      <w:r w:rsidRPr="006F4F2B">
        <w:rPr>
          <w:rFonts w:ascii="Times New Roman" w:hAnsi="Times New Roman"/>
          <w:color w:val="auto"/>
          <w:sz w:val="22"/>
          <w:szCs w:val="22"/>
        </w:rPr>
        <w:t xml:space="preserve"> Compliance Requirements:</w:t>
      </w:r>
      <w:r w:rsidR="00A75909">
        <w:rPr>
          <w:rFonts w:ascii="Times New Roman" w:hAnsi="Times New Roman"/>
          <w:color w:val="auto"/>
          <w:sz w:val="22"/>
          <w:szCs w:val="22"/>
        </w:rPr>
        <w:t xml:space="preserve"> </w:t>
      </w:r>
      <w:r w:rsidR="00A75909" w:rsidRPr="004D588D">
        <w:rPr>
          <w:rFonts w:ascii="Times New Roman" w:hAnsi="Times New Roman" w:cs="Times New Roman"/>
          <w:b w:val="0"/>
          <w:color w:val="auto"/>
          <w:sz w:val="22"/>
          <w:szCs w:val="22"/>
        </w:rPr>
        <w:t>Ohio Rev. Code</w:t>
      </w:r>
      <w:r w:rsidR="00A75909" w:rsidRPr="004D588D">
        <w:rPr>
          <w:rFonts w:ascii="Times New Roman" w:hAnsi="Times New Roman" w:cs="Times New Roman"/>
          <w:color w:val="auto"/>
          <w:sz w:val="22"/>
          <w:szCs w:val="22"/>
        </w:rPr>
        <w:t xml:space="preserve"> </w:t>
      </w:r>
      <w:r w:rsidR="00A75909" w:rsidRPr="004D588D">
        <w:rPr>
          <w:rFonts w:ascii="Times New Roman" w:hAnsi="Times New Roman" w:cs="Times New Roman"/>
          <w:b w:val="0"/>
          <w:color w:val="auto"/>
          <w:sz w:val="22"/>
          <w:szCs w:val="22"/>
        </w:rPr>
        <w:t>§§ 2925.03(F), 2929.18, 2981.11, 2981.13 and 2981.14 - Law Enforcement Trust (LET) and Drug Law Enforcement Funds</w:t>
      </w:r>
      <w:bookmarkEnd w:id="60"/>
    </w:p>
    <w:p w14:paraId="41093291" w14:textId="77777777" w:rsidR="00A75909" w:rsidRPr="004D588D" w:rsidRDefault="00A75909" w:rsidP="00A75909">
      <w:pPr>
        <w:jc w:val="both"/>
        <w:rPr>
          <w:rFonts w:ascii="Times New Roman" w:hAnsi="Times New Roman"/>
          <w:sz w:val="22"/>
          <w:szCs w:val="22"/>
        </w:rPr>
      </w:pPr>
    </w:p>
    <w:p w14:paraId="18E5CA35" w14:textId="77777777" w:rsidR="00A75909" w:rsidRPr="004D588D" w:rsidRDefault="00A75909" w:rsidP="00A75909">
      <w:pPr>
        <w:jc w:val="both"/>
        <w:rPr>
          <w:rFonts w:ascii="Times New Roman" w:hAnsi="Times New Roman"/>
          <w:b/>
          <w:sz w:val="22"/>
          <w:szCs w:val="22"/>
        </w:rPr>
      </w:pPr>
      <w:r w:rsidRPr="004D588D">
        <w:rPr>
          <w:rFonts w:ascii="Times New Roman" w:hAnsi="Times New Roman"/>
          <w:b/>
          <w:sz w:val="22"/>
          <w:szCs w:val="22"/>
        </w:rPr>
        <w:t>Summary of Requirements:</w:t>
      </w:r>
    </w:p>
    <w:p w14:paraId="428B0B73" w14:textId="74C62960" w:rsidR="00A75909" w:rsidRDefault="00681EE3" w:rsidP="00A75909">
      <w:pPr>
        <w:jc w:val="both"/>
        <w:rPr>
          <w:rFonts w:ascii="Times New Roman" w:hAnsi="Times New Roman"/>
          <w:sz w:val="22"/>
          <w:szCs w:val="22"/>
        </w:rPr>
      </w:pPr>
      <w:r w:rsidRPr="00B82C01">
        <w:rPr>
          <w:rFonts w:ascii="Times New Roman" w:hAnsi="Times New Roman"/>
          <w:i/>
          <w:sz w:val="22"/>
          <w:szCs w:val="22"/>
        </w:rPr>
        <w:t>Note</w:t>
      </w:r>
      <w:r w:rsidR="00A75909" w:rsidRPr="00B82C01">
        <w:rPr>
          <w:rFonts w:ascii="Times New Roman" w:hAnsi="Times New Roman"/>
          <w:sz w:val="22"/>
          <w:szCs w:val="22"/>
        </w:rPr>
        <w:t>:</w:t>
      </w:r>
      <w:r w:rsidR="00727BB3">
        <w:rPr>
          <w:rFonts w:ascii="Times New Roman" w:hAnsi="Times New Roman"/>
          <w:sz w:val="22"/>
          <w:szCs w:val="22"/>
        </w:rPr>
        <w:t xml:space="preserve"> </w:t>
      </w:r>
      <w:r w:rsidR="00A75909" w:rsidRPr="00727BB3">
        <w:rPr>
          <w:rFonts w:ascii="Times New Roman" w:hAnsi="Times New Roman"/>
          <w:sz w:val="22"/>
          <w:szCs w:val="22"/>
        </w:rPr>
        <w:t xml:space="preserve"> </w:t>
      </w:r>
      <w:r w:rsidR="00B82C01">
        <w:rPr>
          <w:rFonts w:ascii="Times New Roman" w:hAnsi="Times New Roman"/>
          <w:sz w:val="22"/>
          <w:szCs w:val="22"/>
        </w:rPr>
        <w:t>T</w:t>
      </w:r>
      <w:r w:rsidR="00A75909" w:rsidRPr="006B3428">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6B448D15" w14:textId="3740A099" w:rsidR="002250FA" w:rsidRPr="00542396" w:rsidRDefault="002250FA" w:rsidP="002250FA">
      <w:pPr>
        <w:jc w:val="both"/>
        <w:rPr>
          <w:rFonts w:ascii="Times New Roman" w:hAnsi="Times New Roman"/>
          <w:sz w:val="22"/>
          <w:szCs w:val="22"/>
        </w:rPr>
      </w:pPr>
      <w:r w:rsidRPr="00542396">
        <w:rPr>
          <w:rFonts w:ascii="Times New Roman" w:hAnsi="Times New Roman"/>
          <w:sz w:val="22"/>
          <w:szCs w:val="22"/>
        </w:rPr>
        <w:t xml:space="preserve">Refer to the AOS Ohio Sheriff’s Manual for further guidance: </w:t>
      </w:r>
      <w:hyperlink r:id="rId34" w:history="1">
        <w:r w:rsidRPr="00542396">
          <w:rPr>
            <w:rStyle w:val="Hyperlink"/>
            <w:rFonts w:ascii="Times New Roman" w:hAnsi="Times New Roman"/>
            <w:sz w:val="22"/>
            <w:szCs w:val="22"/>
            <w:u w:val="none"/>
          </w:rPr>
          <w:t>https://ohioauditor.gov/publications/SheriffManual%209-27-18.pdf</w:t>
        </w:r>
      </w:hyperlink>
      <w:r w:rsidRPr="00542396">
        <w:rPr>
          <w:rFonts w:ascii="Times New Roman" w:hAnsi="Times New Roman"/>
          <w:sz w:val="22"/>
          <w:szCs w:val="22"/>
        </w:rPr>
        <w:t xml:space="preserve">. </w:t>
      </w:r>
    </w:p>
    <w:p w14:paraId="0F7F66CD" w14:textId="77777777" w:rsidR="002250FA" w:rsidRPr="00F2305B" w:rsidRDefault="002250FA" w:rsidP="00A75909">
      <w:pPr>
        <w:jc w:val="both"/>
        <w:rPr>
          <w:rFonts w:ascii="Times New Roman" w:hAnsi="Times New Roman"/>
          <w:sz w:val="22"/>
          <w:szCs w:val="22"/>
        </w:rPr>
      </w:pP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AF184A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1</w:t>
      </w:r>
      <w:r w:rsidR="00011B09">
        <w:rPr>
          <w:rFonts w:ascii="Times New Roman" w:hAnsi="Times New Roman"/>
          <w:b/>
          <w:sz w:val="22"/>
          <w:szCs w:val="22"/>
        </w:rPr>
        <w:t xml:space="preserve"> below</w:t>
      </w:r>
      <w:r w:rsidRPr="004D588D">
        <w:rPr>
          <w:rFonts w:ascii="Times New Roman" w:hAnsi="Times New Roman"/>
          <w:b/>
          <w:sz w:val="22"/>
          <w:szCs w:val="22"/>
        </w:rPr>
        <w:t xml:space="preserve">)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1C171826"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23"/>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Pr>
          <w:rFonts w:ascii="Times New Roman" w:hAnsi="Times New Roman"/>
          <w:sz w:val="22"/>
          <w:szCs w:val="22"/>
        </w:rPr>
        <w:t xml:space="preserve">Ohio Rev. Code </w:t>
      </w:r>
      <w:r w:rsidR="005D2E16" w:rsidRPr="004D588D">
        <w:rPr>
          <w:rFonts w:ascii="Times New Roman" w:hAnsi="Times New Roman"/>
          <w:sz w:val="22"/>
          <w:szCs w:val="22"/>
        </w:rPr>
        <w:t>§</w:t>
      </w:r>
      <w:r w:rsidR="005D2E16">
        <w:rPr>
          <w:rFonts w:ascii="Times New Roman" w:hAnsi="Times New Roman"/>
          <w:sz w:val="22"/>
          <w:szCs w:val="22"/>
        </w:rPr>
        <w:t xml:space="preserve"> </w:t>
      </w:r>
      <w:r w:rsidRPr="004D588D">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4"/>
      </w:r>
      <w:r w:rsidRPr="004D588D">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 xml:space="preserve">Procedure No. </w:t>
      </w:r>
      <w:r w:rsidRPr="004D588D">
        <w:rPr>
          <w:rFonts w:ascii="Times New Roman" w:hAnsi="Times New Roman"/>
          <w:b/>
          <w:sz w:val="22"/>
          <w:szCs w:val="22"/>
        </w:rPr>
        <w:t xml:space="preserve"> 3</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61F8289C"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w:t>
      </w:r>
      <w:proofErr w:type="gramStart"/>
      <w:r w:rsidRPr="004D588D">
        <w:rPr>
          <w:rFonts w:ascii="Times New Roman" w:hAnsi="Times New Roman"/>
          <w:sz w:val="22"/>
          <w:szCs w:val="22"/>
        </w:rPr>
        <w:t>)(</w:t>
      </w:r>
      <w:proofErr w:type="gramEnd"/>
      <w:r w:rsidRPr="004D588D">
        <w:rPr>
          <w:rFonts w:ascii="Times New Roman" w:hAnsi="Times New Roman"/>
          <w:sz w:val="22"/>
          <w:szCs w:val="22"/>
        </w:rPr>
        <w:t>2) provides guidance on preparing an internal control policy indicating it must:</w:t>
      </w:r>
    </w:p>
    <w:p w14:paraId="3AC67A76" w14:textId="42DB072D"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address the agency's use</w:t>
      </w:r>
      <w:r w:rsidR="007749C0" w:rsidRPr="008B59F5">
        <w:rPr>
          <w:rStyle w:val="FootnoteReference"/>
          <w:rFonts w:ascii="Times New Roman" w:hAnsi="Times New Roman"/>
          <w:sz w:val="22"/>
          <w:szCs w:val="22"/>
        </w:rPr>
        <w:footnoteReference w:id="25"/>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4E2FEF08" w14:textId="77777777" w:rsidR="00A75909" w:rsidRPr="004D588D" w:rsidRDefault="00A75909" w:rsidP="00013F1A">
      <w:pPr>
        <w:pStyle w:val="ListParagraph"/>
        <w:numPr>
          <w:ilvl w:val="1"/>
          <w:numId w:val="47"/>
        </w:numPr>
        <w:jc w:val="both"/>
        <w:rPr>
          <w:rFonts w:ascii="Times New Roman" w:hAnsi="Times New Roman"/>
          <w:sz w:val="22"/>
          <w:szCs w:val="22"/>
        </w:rPr>
      </w:pPr>
      <w:proofErr w:type="gramStart"/>
      <w:r w:rsidRPr="004D588D">
        <w:rPr>
          <w:rFonts w:ascii="Times New Roman" w:hAnsi="Times New Roman"/>
          <w:sz w:val="22"/>
          <w:szCs w:val="22"/>
        </w:rPr>
        <w:t>the</w:t>
      </w:r>
      <w:proofErr w:type="gramEnd"/>
      <w:r w:rsidRPr="004D588D">
        <w:rPr>
          <w:rFonts w:ascii="Times New Roman" w:hAnsi="Times New Roman"/>
          <w:sz w:val="22"/>
          <w:szCs w:val="22"/>
        </w:rPr>
        <w:t xml:space="preserve"> specific amount of each general type of expenditure. </w:t>
      </w:r>
    </w:p>
    <w:p w14:paraId="1FF1F3FA" w14:textId="77777777" w:rsidR="00A75909" w:rsidRPr="004D588D" w:rsidRDefault="00A75909" w:rsidP="00013F1A">
      <w:pPr>
        <w:pStyle w:val="ListParagraph"/>
        <w:numPr>
          <w:ilvl w:val="0"/>
          <w:numId w:val="47"/>
        </w:numPr>
        <w:jc w:val="both"/>
        <w:rPr>
          <w:rFonts w:ascii="Times New Roman" w:hAnsi="Times New Roman"/>
          <w:sz w:val="22"/>
          <w:szCs w:val="22"/>
        </w:rPr>
      </w:pPr>
      <w:proofErr w:type="gramStart"/>
      <w:r w:rsidRPr="004D588D">
        <w:rPr>
          <w:rFonts w:ascii="Times New Roman" w:hAnsi="Times New Roman"/>
          <w:sz w:val="22"/>
          <w:szCs w:val="22"/>
        </w:rPr>
        <w:t>not</w:t>
      </w:r>
      <w:proofErr w:type="gramEnd"/>
      <w:r w:rsidRPr="004D588D">
        <w:rPr>
          <w:rFonts w:ascii="Times New Roman" w:hAnsi="Times New Roman"/>
          <w:sz w:val="22"/>
          <w:szCs w:val="22"/>
        </w:rPr>
        <w:t xml:space="preserve">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lastRenderedPageBreak/>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7F4AAD4E" w14:textId="71257233" w:rsidR="00A75909"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013F1A">
      <w:pPr>
        <w:pStyle w:val="ListParagraph"/>
        <w:numPr>
          <w:ilvl w:val="0"/>
          <w:numId w:val="31"/>
        </w:numPr>
        <w:jc w:val="both"/>
        <w:rPr>
          <w:rFonts w:ascii="Times New Roman" w:hAnsi="Times New Roman"/>
          <w:sz w:val="22"/>
          <w:szCs w:val="22"/>
        </w:rPr>
      </w:pPr>
      <w:r w:rsidRPr="004D588D">
        <w:rPr>
          <w:rFonts w:ascii="Times New Roman" w:hAnsi="Times New Roman"/>
          <w:sz w:val="22"/>
          <w:szCs w:val="22"/>
        </w:rPr>
        <w:t>the amount of property acquired by the agency and the date property was acquired;</w:t>
      </w:r>
    </w:p>
    <w:p w14:paraId="31992C0A" w14:textId="77777777" w:rsidR="00A75909" w:rsidRPr="004D588D" w:rsidRDefault="00A75909" w:rsidP="00013F1A">
      <w:pPr>
        <w:pStyle w:val="ListParagraph"/>
        <w:numPr>
          <w:ilvl w:val="0"/>
          <w:numId w:val="30"/>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The manner in which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Revised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xml:space="preserve">, township, </w:t>
      </w:r>
      <w:proofErr w:type="gramStart"/>
      <w:r w:rsidRPr="004D588D">
        <w:rPr>
          <w:rFonts w:ascii="Times New Roman" w:hAnsi="Times New Roman"/>
          <w:sz w:val="22"/>
          <w:szCs w:val="22"/>
        </w:rPr>
        <w:t>municipal corporation</w:t>
      </w:r>
      <w:proofErr w:type="gramEnd"/>
      <w:r w:rsidRPr="004D588D">
        <w:rPr>
          <w:rFonts w:ascii="Times New Roman" w:hAnsi="Times New Roman"/>
          <w:sz w:val="22"/>
          <w:szCs w:val="22"/>
        </w:rPr>
        <w:t>,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77777777"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 xml:space="preserve">Establish a law enforcement trust fund [Ohio Revised Code § 2981.13(C)(1)], </w:t>
      </w:r>
    </w:p>
    <w:p w14:paraId="7A80FEB5" w14:textId="25B7641C"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w:t>
      </w:r>
      <w:proofErr w:type="gramStart"/>
      <w:r w:rsidRPr="004D588D">
        <w:rPr>
          <w:rFonts w:ascii="Times New Roman" w:hAnsi="Times New Roman"/>
          <w:sz w:val="22"/>
          <w:szCs w:val="22"/>
        </w:rPr>
        <w:t>)(</w:t>
      </w:r>
      <w:proofErr w:type="gramEnd"/>
      <w:r w:rsidRPr="004D588D">
        <w:rPr>
          <w:rFonts w:ascii="Times New Roman" w:hAnsi="Times New Roman"/>
          <w:sz w:val="22"/>
          <w:szCs w:val="22"/>
        </w:rPr>
        <w:t>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220AA53E"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Write/adopt and comply with an internal control policy relating to proceeds and forfeited money </w:t>
      </w:r>
      <w:proofErr w:type="gramStart"/>
      <w:r w:rsidRPr="004D588D">
        <w:rPr>
          <w:rFonts w:ascii="Times New Roman" w:hAnsi="Times New Roman"/>
          <w:sz w:val="22"/>
          <w:szCs w:val="22"/>
        </w:rPr>
        <w:t>addressing[</w:t>
      </w:r>
      <w:proofErr w:type="gramEnd"/>
      <w:r w:rsidRPr="004D588D">
        <w:rPr>
          <w:rFonts w:ascii="Times New Roman" w:hAnsi="Times New Roman"/>
          <w:sz w:val="22"/>
          <w:szCs w:val="22"/>
        </w:rPr>
        <w:t>Ohio Rev. Code § 2981.13(C)(2)(a)]:</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made out of the proceeds and forfeited moneys received, and </w:t>
      </w:r>
    </w:p>
    <w:p w14:paraId="4822968E"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6"/>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2FA6C616"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An additional fine imposed under Ohio Rev. Code § 2929.18(A) or (B</w:t>
      </w:r>
      <w:proofErr w:type="gramStart"/>
      <w:r w:rsidRPr="004D588D">
        <w:rPr>
          <w:rFonts w:ascii="Times New Roman" w:hAnsi="Times New Roman"/>
          <w:sz w:val="22"/>
          <w:szCs w:val="22"/>
        </w:rPr>
        <w:t>)(</w:t>
      </w:r>
      <w:proofErr w:type="gramEnd"/>
      <w:r w:rsidRPr="004D588D">
        <w:rPr>
          <w:rFonts w:ascii="Times New Roman" w:hAnsi="Times New Roman"/>
          <w:sz w:val="22"/>
          <w:szCs w:val="22"/>
        </w:rPr>
        <w:t>4) does not require distribution to LET funds under Ohio Rev. Code § 2925.03(F).  Instead, fines imposed under Ohio Rev. Code § 2929.18(B</w:t>
      </w:r>
      <w:proofErr w:type="gramStart"/>
      <w:r w:rsidRPr="004D588D">
        <w:rPr>
          <w:rFonts w:ascii="Times New Roman" w:hAnsi="Times New Roman"/>
          <w:sz w:val="22"/>
          <w:szCs w:val="22"/>
        </w:rPr>
        <w:t>)(</w:t>
      </w:r>
      <w:proofErr w:type="gramEnd"/>
      <w:r w:rsidRPr="004D588D">
        <w:rPr>
          <w:rFonts w:ascii="Times New Roman" w:hAnsi="Times New Roman"/>
          <w:sz w:val="22"/>
          <w:szCs w:val="22"/>
        </w:rPr>
        <w:t xml:space="preserve">4) must be used as provided in Ohio Rev. Code § 2925.03(H).  This section requires fines to be used solely for the support of one or more eligible community addiction services providers.  </w:t>
      </w:r>
      <w:r>
        <w:rPr>
          <w:rFonts w:ascii="Times New Roman" w:hAnsi="Times New Roman"/>
          <w:b/>
          <w:sz w:val="22"/>
          <w:szCs w:val="22"/>
        </w:rPr>
        <w:t>(</w:t>
      </w:r>
      <w:r w:rsidR="00B82C01" w:rsidRPr="00727BB3">
        <w:rPr>
          <w:rFonts w:ascii="Times New Roman" w:hAnsi="Times New Roman"/>
          <w:b/>
          <w:sz w:val="22"/>
          <w:szCs w:val="22"/>
        </w:rPr>
        <w:t>Procedure</w:t>
      </w:r>
      <w:r w:rsidR="00011B09" w:rsidRPr="00727BB3">
        <w:rPr>
          <w:rFonts w:ascii="Times New Roman" w:hAnsi="Times New Roman"/>
          <w:b/>
          <w:sz w:val="22"/>
          <w:szCs w:val="22"/>
        </w:rPr>
        <w:t>s</w:t>
      </w:r>
      <w:r w:rsidR="00B82C01" w:rsidRPr="00727BB3">
        <w:rPr>
          <w:rFonts w:ascii="Times New Roman" w:hAnsi="Times New Roman"/>
          <w:b/>
          <w:sz w:val="22"/>
          <w:szCs w:val="22"/>
        </w:rPr>
        <w:t xml:space="preserve"> No.</w:t>
      </w:r>
      <w:r w:rsidR="00B82C01">
        <w:rPr>
          <w:rFonts w:ascii="Times New Roman" w:hAnsi="Times New Roman"/>
          <w:b/>
          <w:sz w:val="22"/>
          <w:szCs w:val="22"/>
        </w:rPr>
        <w:t xml:space="preserve"> </w:t>
      </w:r>
      <w:r>
        <w:rPr>
          <w:rFonts w:ascii="Times New Roman" w:hAnsi="Times New Roman"/>
          <w:b/>
          <w:sz w:val="22"/>
          <w:szCs w:val="22"/>
        </w:rPr>
        <w:t xml:space="preserve"> 6</w:t>
      </w:r>
      <w:r w:rsidRPr="004D588D">
        <w:rPr>
          <w:rFonts w:ascii="Times New Roman" w:hAnsi="Times New Roman"/>
          <w:b/>
          <w:sz w:val="22"/>
          <w:szCs w:val="22"/>
        </w:rPr>
        <w:t>-</w:t>
      </w:r>
      <w:r>
        <w:rPr>
          <w:rFonts w:ascii="Times New Roman" w:hAnsi="Times New Roman"/>
          <w:b/>
          <w:sz w:val="22"/>
          <w:szCs w:val="22"/>
        </w:rPr>
        <w:t>7</w:t>
      </w:r>
      <w:r w:rsidR="00011B09">
        <w:rPr>
          <w:rFonts w:ascii="Times New Roman" w:hAnsi="Times New Roman"/>
          <w:b/>
          <w:sz w:val="22"/>
          <w:szCs w:val="22"/>
        </w:rPr>
        <w:t xml:space="preserve"> below</w:t>
      </w:r>
      <w:r w:rsidRPr="004D588D">
        <w:rPr>
          <w:rFonts w:ascii="Times New Roman" w:hAnsi="Times New Roman"/>
          <w:b/>
          <w:sz w:val="22"/>
          <w:szCs w:val="22"/>
        </w:rPr>
        <w:t>)</w:t>
      </w:r>
    </w:p>
    <w:p w14:paraId="4BE8DE33" w14:textId="08B4896C" w:rsidR="00A75909" w:rsidRDefault="00A75909" w:rsidP="00A75909">
      <w:pPr>
        <w:jc w:val="both"/>
        <w:rPr>
          <w:rFonts w:ascii="Times New Roman" w:hAnsi="Times New Roman"/>
          <w:sz w:val="22"/>
          <w:szCs w:val="22"/>
        </w:rPr>
      </w:pPr>
    </w:p>
    <w:p w14:paraId="1108B799" w14:textId="77777777" w:rsidR="00727BB3" w:rsidRPr="004D588D" w:rsidRDefault="00727BB3" w:rsidP="00A75909">
      <w:pPr>
        <w:jc w:val="both"/>
        <w:rPr>
          <w:rFonts w:ascii="Times New Roman" w:hAnsi="Times New Roman"/>
          <w:sz w:val="22"/>
          <w:szCs w:val="22"/>
        </w:rPr>
      </w:pPr>
    </w:p>
    <w:p w14:paraId="3FA12F02" w14:textId="16544599"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Sample Questions and Procedures</w:t>
      </w:r>
      <w:r w:rsidR="00B82C01">
        <w:rPr>
          <w:rFonts w:ascii="Times New Roman" w:hAnsi="Times New Roman"/>
          <w:b/>
          <w:sz w:val="22"/>
          <w:szCs w:val="22"/>
        </w:rPr>
        <w:t xml:space="preserve"> </w:t>
      </w:r>
      <w:r w:rsidR="00B82C01" w:rsidRPr="006F051B">
        <w:rPr>
          <w:rFonts w:ascii="Times New Roman" w:hAnsi="Times New Roman"/>
          <w:b/>
          <w:sz w:val="22"/>
          <w:szCs w:val="22"/>
        </w:rPr>
        <w:t xml:space="preserve">(To be performed </w:t>
      </w:r>
      <w:r w:rsidR="00B82C01" w:rsidRPr="006F051B">
        <w:rPr>
          <w:rFonts w:ascii="Times New Roman" w:hAnsi="Times New Roman"/>
          <w:b/>
          <w:sz w:val="22"/>
          <w:szCs w:val="22"/>
          <w:u w:val="single"/>
        </w:rPr>
        <w:t>every</w:t>
      </w:r>
      <w:r w:rsidR="00B82C01" w:rsidRPr="006F051B">
        <w:rPr>
          <w:rFonts w:ascii="Times New Roman" w:hAnsi="Times New Roman"/>
          <w:b/>
          <w:sz w:val="22"/>
          <w:szCs w:val="22"/>
        </w:rPr>
        <w:t xml:space="preserve"> year)</w:t>
      </w:r>
      <w:r w:rsidRPr="006F051B">
        <w:rPr>
          <w:rFonts w:ascii="Times New Roman" w:hAnsi="Times New Roman"/>
          <w:b/>
          <w:sz w:val="22"/>
          <w:szCs w:val="22"/>
        </w:rPr>
        <w:t>:</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in </w:t>
      </w:r>
      <w:r>
        <w:rPr>
          <w:rFonts w:ascii="Times New Roman" w:hAnsi="Times New Roman"/>
          <w:sz w:val="22"/>
          <w:szCs w:val="22"/>
        </w:rPr>
        <w:t>order to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Obtain any internal control policy(</w:t>
      </w:r>
      <w:proofErr w:type="spellStart"/>
      <w:r w:rsidRPr="004D588D">
        <w:rPr>
          <w:rFonts w:ascii="Times New Roman" w:hAnsi="Times New Roman"/>
          <w:sz w:val="22"/>
          <w:szCs w:val="22"/>
        </w:rPr>
        <w:t>ies</w:t>
      </w:r>
      <w:proofErr w:type="spellEnd"/>
      <w:r w:rsidRPr="004D588D">
        <w:rPr>
          <w:rFonts w:ascii="Times New Roman" w:hAnsi="Times New Roman"/>
          <w:sz w:val="22"/>
          <w:szCs w:val="22"/>
        </w:rPr>
        <w:t>) and if applicable determine if it is written in accordance with:</w:t>
      </w:r>
    </w:p>
    <w:p w14:paraId="738BCE43"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2925.03(F)(2) – For Mandatory Drug Fines;</w:t>
      </w:r>
    </w:p>
    <w:p w14:paraId="5574C9FD"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2981.11(B)(1) – For Care of Property in Law Enforcement Custody;</w:t>
      </w:r>
    </w:p>
    <w:p w14:paraId="7C75CD3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77777777" w:rsidR="00A75909" w:rsidRPr="004D588D" w:rsidRDefault="00A75909" w:rsidP="00A36D21">
      <w:pPr>
        <w:pStyle w:val="ListParagraph"/>
        <w:numPr>
          <w:ilvl w:val="0"/>
          <w:numId w:val="50"/>
        </w:numPr>
        <w:ind w:left="360"/>
        <w:jc w:val="both"/>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p>
    <w:p w14:paraId="0578B343" w14:textId="77777777" w:rsidR="00A75909" w:rsidRPr="004D588D" w:rsidRDefault="00A75909" w:rsidP="00A36D21">
      <w:pPr>
        <w:pStyle w:val="ListParagraph"/>
        <w:ind w:left="360"/>
        <w:jc w:val="both"/>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 xml:space="preserve">ee </w:t>
      </w:r>
      <w:proofErr w:type="spellStart"/>
      <w:r w:rsidRPr="004D588D">
        <w:rPr>
          <w:rFonts w:ascii="Times New Roman" w:hAnsi="Times New Roman"/>
          <w:i/>
          <w:sz w:val="22"/>
          <w:szCs w:val="22"/>
        </w:rPr>
        <w:t>AOSAM</w:t>
      </w:r>
      <w:proofErr w:type="spellEnd"/>
      <w:r w:rsidRPr="004D588D">
        <w:rPr>
          <w:rFonts w:ascii="Times New Roman" w:hAnsi="Times New Roman"/>
          <w:i/>
          <w:sz w:val="22"/>
          <w:szCs w:val="22"/>
        </w:rPr>
        <w:t xml:space="preserve">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A36D21">
      <w:pPr>
        <w:pStyle w:val="ListParagraph"/>
        <w:numPr>
          <w:ilvl w:val="1"/>
          <w:numId w:val="50"/>
        </w:numPr>
        <w:ind w:left="1080"/>
        <w:jc w:val="both"/>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A36D21">
      <w:pPr>
        <w:pStyle w:val="ListParagraph"/>
        <w:numPr>
          <w:ilvl w:val="1"/>
          <w:numId w:val="50"/>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37791839" w14:textId="77777777" w:rsidR="00A75909" w:rsidRPr="004D588D" w:rsidRDefault="00A75909" w:rsidP="00A36D21">
      <w:pPr>
        <w:pStyle w:val="ListParagraph"/>
        <w:numPr>
          <w:ilvl w:val="1"/>
          <w:numId w:val="50"/>
        </w:numPr>
        <w:ind w:left="1080"/>
        <w:jc w:val="both"/>
        <w:rPr>
          <w:rFonts w:ascii="Times New Roman" w:hAnsi="Times New Roman"/>
          <w:sz w:val="22"/>
          <w:szCs w:val="22"/>
        </w:rPr>
      </w:pPr>
      <w:r w:rsidRPr="004D588D">
        <w:rPr>
          <w:rFonts w:ascii="Times New Roman" w:hAnsi="Times New Roman"/>
          <w:sz w:val="22"/>
          <w:szCs w:val="22"/>
        </w:rPr>
        <w:lastRenderedPageBreak/>
        <w:t xml:space="preserve">Inquire about any transfers of property seized by the agency or authority to any federal law enforcement authority. </w:t>
      </w:r>
    </w:p>
    <w:p w14:paraId="3BA3126E" w14:textId="2917F7F4" w:rsidR="00A75909"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Evaluate the value of transferred property and if applicable test requirements of  Treasury or Justice Equitable Sharing Programs (see Catalog of Federal Domestic Assistance (</w:t>
      </w:r>
      <w:proofErr w:type="spellStart"/>
      <w:r w:rsidRPr="004D588D">
        <w:rPr>
          <w:rFonts w:ascii="Times New Roman" w:hAnsi="Times New Roman"/>
          <w:sz w:val="22"/>
          <w:szCs w:val="22"/>
        </w:rPr>
        <w:t>CFDA</w:t>
      </w:r>
      <w:bookmarkStart w:id="61" w:name="_Ref52977424"/>
      <w:proofErr w:type="spellEnd"/>
      <w:r w:rsidR="00301452">
        <w:rPr>
          <w:rStyle w:val="FootnoteReference"/>
          <w:rFonts w:ascii="Times New Roman" w:hAnsi="Times New Roman"/>
          <w:sz w:val="22"/>
          <w:szCs w:val="22"/>
        </w:rPr>
        <w:footnoteReference w:id="27"/>
      </w:r>
      <w:bookmarkEnd w:id="61"/>
      <w:r w:rsidRPr="004D588D">
        <w:rPr>
          <w:rFonts w:ascii="Times New Roman" w:hAnsi="Times New Roman"/>
          <w:sz w:val="22"/>
          <w:szCs w:val="22"/>
        </w:rPr>
        <w:t>) # 16.922 and/or 21.016)</w:t>
      </w:r>
    </w:p>
    <w:p w14:paraId="1790184C" w14:textId="77777777" w:rsidR="00727BB3" w:rsidRDefault="00727BB3" w:rsidP="00727BB3">
      <w:pPr>
        <w:pStyle w:val="ListParagraph"/>
        <w:ind w:left="1620"/>
        <w:rPr>
          <w:rFonts w:ascii="Times New Roman" w:hAnsi="Times New Roman"/>
          <w:sz w:val="22"/>
          <w:szCs w:val="22"/>
        </w:rPr>
      </w:pPr>
    </w:p>
    <w:p w14:paraId="7A06E9FD" w14:textId="040FFE16" w:rsidR="00A75909" w:rsidRDefault="00A75909" w:rsidP="00A36D21">
      <w:pPr>
        <w:pStyle w:val="ListParagraph"/>
        <w:numPr>
          <w:ilvl w:val="0"/>
          <w:numId w:val="50"/>
        </w:numPr>
        <w:ind w:left="360"/>
        <w:jc w:val="both"/>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w:t>
      </w:r>
      <w:proofErr w:type="gramStart"/>
      <w:r w:rsidRPr="004D588D">
        <w:rPr>
          <w:rFonts w:ascii="Times New Roman" w:hAnsi="Times New Roman"/>
          <w:sz w:val="22"/>
          <w:szCs w:val="22"/>
        </w:rPr>
        <w:t>)(</w:t>
      </w:r>
      <w:proofErr w:type="gramEnd"/>
      <w:r w:rsidRPr="004D588D">
        <w:rPr>
          <w:rFonts w:ascii="Times New Roman" w:hAnsi="Times New Roman"/>
          <w:sz w:val="22"/>
          <w:szCs w:val="22"/>
        </w:rPr>
        <w:t>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6B3428">
      <w:pPr>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Inquire with the client (including related courts and/or law enforcement agencies) and review supporting audit information in order to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A36D21">
      <w:pPr>
        <w:pStyle w:val="ListParagraph"/>
        <w:numPr>
          <w:ilvl w:val="0"/>
          <w:numId w:val="50"/>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A36D21">
      <w:pPr>
        <w:pStyle w:val="ListParagraph"/>
        <w:numPr>
          <w:ilvl w:val="1"/>
          <w:numId w:val="50"/>
        </w:numPr>
        <w:ind w:left="1080"/>
        <w:jc w:val="both"/>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A36D21">
      <w:pPr>
        <w:pStyle w:val="ListParagraph"/>
        <w:numPr>
          <w:ilvl w:val="1"/>
          <w:numId w:val="50"/>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A36D21">
      <w:pPr>
        <w:pStyle w:val="ListParagraph"/>
        <w:numPr>
          <w:ilvl w:val="2"/>
          <w:numId w:val="50"/>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59ABFE6D" w14:textId="77777777" w:rsidR="00555887" w:rsidRPr="00D604F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5"/>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438448FD" w14:textId="051E5E86" w:rsidR="001D413C" w:rsidRPr="009C6B32" w:rsidRDefault="007938CC" w:rsidP="009C6B32">
      <w:pPr>
        <w:pStyle w:val="Heading3"/>
        <w:tabs>
          <w:tab w:val="left" w:pos="720"/>
        </w:tabs>
        <w:spacing w:before="0"/>
        <w:jc w:val="both"/>
        <w:rPr>
          <w:rFonts w:ascii="Times New Roman" w:hAnsi="Times New Roman" w:cs="Times New Roman"/>
          <w:b w:val="0"/>
          <w:color w:val="auto"/>
          <w:sz w:val="22"/>
          <w:szCs w:val="22"/>
        </w:rPr>
      </w:pPr>
      <w:bookmarkStart w:id="62" w:name="_Toc56760228"/>
      <w:r w:rsidRPr="009C6B32">
        <w:rPr>
          <w:rFonts w:ascii="Times New Roman" w:hAnsi="Times New Roman" w:cs="Times New Roman"/>
          <w:color w:val="auto"/>
          <w:sz w:val="22"/>
          <w:szCs w:val="22"/>
        </w:rPr>
        <w:lastRenderedPageBreak/>
        <w:t>3</w:t>
      </w:r>
      <w:r>
        <w:rPr>
          <w:rFonts w:ascii="Times New Roman" w:hAnsi="Times New Roman" w:cs="Times New Roman"/>
          <w:color w:val="auto"/>
          <w:sz w:val="22"/>
          <w:szCs w:val="22"/>
        </w:rPr>
        <w:t>-18</w:t>
      </w:r>
      <w:r w:rsidRPr="009C6B32">
        <w:rPr>
          <w:rFonts w:ascii="Times New Roman" w:hAnsi="Times New Roman" w:cs="Times New Roman"/>
          <w:color w:val="auto"/>
          <w:sz w:val="22"/>
          <w:szCs w:val="22"/>
        </w:rPr>
        <w:t xml:space="preserve"> </w:t>
      </w:r>
      <w:r w:rsidR="001D413C" w:rsidRPr="009C6B32">
        <w:rPr>
          <w:rFonts w:ascii="Times New Roman" w:hAnsi="Times New Roman" w:cs="Times New Roman"/>
          <w:color w:val="auto"/>
          <w:sz w:val="22"/>
          <w:szCs w:val="22"/>
        </w:rPr>
        <w:t xml:space="preserve">Compliance Requirements:  </w:t>
      </w:r>
      <w:r w:rsidR="001D413C" w:rsidRPr="009C6B32">
        <w:rPr>
          <w:rFonts w:ascii="Times New Roman" w:hAnsi="Times New Roman" w:cs="Times New Roman"/>
          <w:b w:val="0"/>
          <w:color w:val="auto"/>
          <w:sz w:val="22"/>
          <w:szCs w:val="22"/>
        </w:rPr>
        <w:t>Ohio Rev. Code</w:t>
      </w:r>
      <w:r w:rsidR="001D413C" w:rsidRPr="009C6B32">
        <w:rPr>
          <w:rFonts w:ascii="Times New Roman" w:hAnsi="Times New Roman" w:cs="Times New Roman"/>
          <w:color w:val="auto"/>
          <w:sz w:val="22"/>
          <w:szCs w:val="22"/>
        </w:rPr>
        <w:t xml:space="preserve"> </w:t>
      </w:r>
      <w:r w:rsidR="001D413C" w:rsidRPr="009C6B32">
        <w:rPr>
          <w:rFonts w:ascii="Times New Roman" w:hAnsi="Times New Roman" w:cs="Times New Roman"/>
          <w:b w:val="0"/>
          <w:color w:val="auto"/>
          <w:sz w:val="22"/>
          <w:szCs w:val="22"/>
        </w:rPr>
        <w:t>§§ 109.57, 109.571, 109.60, and 5122.311 – Submission of information for National Instant Criminal Background Check System (NICS)</w:t>
      </w:r>
      <w:bookmarkEnd w:id="62"/>
      <w:r w:rsidR="0043258F">
        <w:rPr>
          <w:rFonts w:ascii="Times New Roman" w:hAnsi="Times New Roman" w:cs="Times New Roman"/>
          <w:b w:val="0"/>
          <w:color w:val="auto"/>
          <w:sz w:val="22"/>
          <w:szCs w:val="22"/>
        </w:rPr>
        <w:t xml:space="preserve"> </w:t>
      </w:r>
    </w:p>
    <w:p w14:paraId="3BDFE12F" w14:textId="77777777" w:rsidR="00BB1F97" w:rsidRDefault="00BB1F97" w:rsidP="00BB1F97">
      <w:pPr>
        <w:jc w:val="center"/>
        <w:rPr>
          <w:rFonts w:ascii="Times New Roman" w:hAnsi="Times New Roman"/>
          <w:sz w:val="22"/>
          <w:szCs w:val="22"/>
          <w:highlight w:val="yellow"/>
        </w:rPr>
      </w:pPr>
    </w:p>
    <w:p w14:paraId="0B860634" w14:textId="5190D247" w:rsidR="00BB1F97" w:rsidRPr="002E7367" w:rsidRDefault="00BB1F97" w:rsidP="00BB1F97">
      <w:pPr>
        <w:jc w:val="center"/>
        <w:rPr>
          <w:rFonts w:ascii="Times New Roman" w:hAnsi="Times New Roman"/>
          <w:sz w:val="22"/>
          <w:szCs w:val="22"/>
        </w:rPr>
      </w:pPr>
      <w:r>
        <w:rPr>
          <w:rFonts w:ascii="Times New Roman" w:hAnsi="Times New Roman"/>
          <w:sz w:val="22"/>
          <w:szCs w:val="22"/>
          <w:highlight w:val="yellow"/>
        </w:rPr>
        <w:t>Procedures for this section for are limited to the evaluation of prior year comments.  Test procedures</w:t>
      </w:r>
      <w:r w:rsidRPr="002E7367">
        <w:rPr>
          <w:rFonts w:ascii="Times New Roman" w:hAnsi="Times New Roman"/>
          <w:sz w:val="22"/>
          <w:szCs w:val="22"/>
          <w:highlight w:val="yellow"/>
        </w:rPr>
        <w:t xml:space="preserve"> </w:t>
      </w:r>
      <w:r>
        <w:rPr>
          <w:rFonts w:ascii="Times New Roman" w:hAnsi="Times New Roman"/>
          <w:sz w:val="22"/>
          <w:szCs w:val="22"/>
          <w:highlight w:val="yellow"/>
        </w:rPr>
        <w:t xml:space="preserve">are not required </w:t>
      </w:r>
      <w:r w:rsidRPr="002E7367">
        <w:rPr>
          <w:rFonts w:ascii="Times New Roman" w:hAnsi="Times New Roman"/>
          <w:sz w:val="22"/>
          <w:szCs w:val="22"/>
          <w:highlight w:val="yellow"/>
        </w:rPr>
        <w:t>fo</w:t>
      </w:r>
      <w:r>
        <w:rPr>
          <w:rFonts w:ascii="Times New Roman" w:hAnsi="Times New Roman"/>
          <w:sz w:val="22"/>
          <w:szCs w:val="22"/>
          <w:highlight w:val="yellow"/>
        </w:rPr>
        <w:t>r periods applicable to the 2021</w:t>
      </w:r>
      <w:r w:rsidRPr="002E7367">
        <w:rPr>
          <w:rFonts w:ascii="Times New Roman" w:hAnsi="Times New Roman"/>
          <w:sz w:val="22"/>
          <w:szCs w:val="22"/>
          <w:highlight w:val="yellow"/>
        </w:rPr>
        <w:t xml:space="preserve"> OCS.</w:t>
      </w:r>
    </w:p>
    <w:p w14:paraId="0175D8BF" w14:textId="702A0ADC" w:rsidR="00C36E98" w:rsidRDefault="00C36E98" w:rsidP="009C6B32">
      <w:pPr>
        <w:jc w:val="both"/>
        <w:rPr>
          <w:rFonts w:ascii="Times New Roman" w:hAnsi="Times New Roman"/>
          <w:sz w:val="22"/>
          <w:szCs w:val="22"/>
        </w:rPr>
      </w:pPr>
    </w:p>
    <w:p w14:paraId="0FF3674C" w14:textId="77777777" w:rsidR="00BB1F97" w:rsidRPr="00BB1F97" w:rsidRDefault="00BB1F97" w:rsidP="000D05E8">
      <w:pPr>
        <w:rPr>
          <w:rFonts w:ascii="Times New Roman" w:hAnsi="Times New Roman"/>
          <w:b/>
          <w:sz w:val="22"/>
          <w:szCs w:val="22"/>
        </w:rPr>
      </w:pPr>
      <w:r w:rsidRPr="00BB1F97">
        <w:rPr>
          <w:rFonts w:ascii="Times New Roman" w:hAnsi="Times New Roman"/>
          <w:b/>
          <w:sz w:val="22"/>
          <w:szCs w:val="22"/>
        </w:rPr>
        <w:t>Sample Questions and Procedures:</w:t>
      </w:r>
    </w:p>
    <w:p w14:paraId="25D48389" w14:textId="71B7F549" w:rsidR="000D05E8" w:rsidRPr="00BB1F97" w:rsidRDefault="003E4373" w:rsidP="00A36D21">
      <w:pPr>
        <w:pStyle w:val="ListParagraph"/>
        <w:numPr>
          <w:ilvl w:val="0"/>
          <w:numId w:val="66"/>
        </w:numPr>
        <w:ind w:left="360"/>
        <w:jc w:val="both"/>
        <w:rPr>
          <w:rFonts w:ascii="Times New Roman" w:hAnsi="Times New Roman"/>
          <w:sz w:val="22"/>
          <w:szCs w:val="22"/>
        </w:rPr>
      </w:pPr>
      <w:r w:rsidRPr="00BB1F97">
        <w:rPr>
          <w:rFonts w:ascii="Times New Roman" w:hAnsi="Times New Roman"/>
          <w:sz w:val="22"/>
          <w:szCs w:val="22"/>
        </w:rPr>
        <w:t>Auditors should</w:t>
      </w:r>
      <w:r w:rsidR="002E7367" w:rsidRPr="00BB1F97">
        <w:rPr>
          <w:rFonts w:ascii="Times New Roman" w:hAnsi="Times New Roman"/>
          <w:sz w:val="22"/>
          <w:szCs w:val="22"/>
        </w:rPr>
        <w:t xml:space="preserve"> evaluate the status of any prior year comments issued for NICS.  If the matter is resolved, document in the working papers.  If the issue is not resolved, bring to the management’s attention via a verbal comment</w:t>
      </w:r>
      <w:r w:rsidR="00561426" w:rsidRPr="00BB1F97">
        <w:rPr>
          <w:rFonts w:ascii="Times New Roman" w:hAnsi="Times New Roman"/>
          <w:sz w:val="22"/>
          <w:szCs w:val="22"/>
        </w:rPr>
        <w:t xml:space="preserve"> only.</w:t>
      </w:r>
      <w:r w:rsidR="002E7367" w:rsidRPr="00BB1F97">
        <w:rPr>
          <w:rFonts w:ascii="Times New Roman" w:hAnsi="Times New Roman"/>
          <w:sz w:val="22"/>
          <w:szCs w:val="22"/>
        </w:rPr>
        <w:t xml:space="preserve">  </w:t>
      </w:r>
    </w:p>
    <w:p w14:paraId="431A45F0" w14:textId="77777777" w:rsidR="000D05E8" w:rsidRDefault="000D05E8" w:rsidP="000D05E8">
      <w:pPr>
        <w:jc w:val="center"/>
        <w:rPr>
          <w:rFonts w:ascii="Times New Roman" w:hAnsi="Times New Roman"/>
          <w:sz w:val="22"/>
          <w:szCs w:val="22"/>
        </w:rPr>
      </w:pPr>
    </w:p>
    <w:p w14:paraId="53E5EB48" w14:textId="07C720F0" w:rsidR="002E7367" w:rsidRPr="002E7367" w:rsidRDefault="002E7367" w:rsidP="009C6B32">
      <w:pPr>
        <w:jc w:val="both"/>
        <w:rPr>
          <w:rFonts w:ascii="Times New Roman" w:hAnsi="Times New Roman"/>
          <w:sz w:val="22"/>
          <w:szCs w:val="22"/>
        </w:rPr>
      </w:pPr>
    </w:p>
    <w:sectPr w:rsidR="002E7367" w:rsidRPr="002E7367" w:rsidSect="001D413C">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7B356" w14:textId="77777777" w:rsidR="006C6DDE" w:rsidRDefault="006C6DDE" w:rsidP="006F0984">
      <w:r>
        <w:separator/>
      </w:r>
    </w:p>
  </w:endnote>
  <w:endnote w:type="continuationSeparator" w:id="0">
    <w:p w14:paraId="6C0F494D" w14:textId="77777777" w:rsidR="006C6DDE" w:rsidRDefault="006C6DDE"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DF57" w14:textId="708BE4E5" w:rsidR="006C6DDE" w:rsidRPr="00BF68A3" w:rsidRDefault="006C6DDE"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843231890"/>
        <w:docPartObj>
          <w:docPartGallery w:val="Page Numbers (Bottom of Page)"/>
          <w:docPartUnique/>
        </w:docPartObj>
      </w:sdtPr>
      <w:sdtEndPr>
        <w:rPr>
          <w:noProof/>
          <w:sz w:val="20"/>
          <w:szCs w:val="20"/>
        </w:rPr>
      </w:sdtEndPr>
      <w:sdtContent>
        <w:r w:rsidRPr="00BF68A3">
          <w:rPr>
            <w:rFonts w:ascii="Times New Roman" w:hAnsi="Times New Roman"/>
          </w:rPr>
          <w:fldChar w:fldCharType="begin"/>
        </w:r>
        <w:r w:rsidRPr="00BF68A3">
          <w:rPr>
            <w:rFonts w:ascii="Times New Roman" w:hAnsi="Times New Roman"/>
          </w:rPr>
          <w:instrText xml:space="preserve"> PAGE   \* MERGEFORMAT </w:instrText>
        </w:r>
        <w:r w:rsidRPr="00BF68A3">
          <w:rPr>
            <w:rFonts w:ascii="Times New Roman" w:hAnsi="Times New Roman"/>
          </w:rPr>
          <w:fldChar w:fldCharType="separate"/>
        </w:r>
        <w:r w:rsidR="00A36D21">
          <w:rPr>
            <w:rFonts w:ascii="Times New Roman" w:hAnsi="Times New Roman"/>
            <w:noProof/>
          </w:rPr>
          <w:t>3</w:t>
        </w:r>
        <w:r w:rsidRPr="00BF68A3">
          <w:rPr>
            <w:rFonts w:ascii="Times New Roman" w:hAnsi="Times New Roman"/>
            <w:noProof/>
          </w:rPr>
          <w:fldChar w:fldCharType="end"/>
        </w:r>
      </w:sdtContent>
    </w:sdt>
  </w:p>
  <w:p w14:paraId="2651CF72" w14:textId="77777777" w:rsidR="006C6DDE" w:rsidRDefault="006C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E8697" w14:textId="478ABAA8" w:rsidR="006C6DDE" w:rsidRPr="00F2305B" w:rsidRDefault="006C6DDE" w:rsidP="006F0984">
      <w:r>
        <w:separator/>
      </w:r>
    </w:p>
  </w:footnote>
  <w:footnote w:type="continuationSeparator" w:id="0">
    <w:p w14:paraId="0448DBC0" w14:textId="77777777" w:rsidR="006C6DDE" w:rsidRDefault="006C6DDE" w:rsidP="006F0984">
      <w:r>
        <w:continuationSeparator/>
      </w:r>
    </w:p>
  </w:footnote>
  <w:footnote w:id="1">
    <w:p w14:paraId="034C3C29" w14:textId="25A54BC5" w:rsidR="006C6DDE" w:rsidRDefault="006C6DDE" w:rsidP="0065163D">
      <w:pPr>
        <w:pStyle w:val="FootnoteText"/>
        <w:jc w:val="both"/>
        <w:rPr>
          <w:rFonts w:ascii="Times New Roman" w:hAnsi="Times New Roman"/>
        </w:rPr>
      </w:pPr>
      <w:r w:rsidRPr="00F2305B">
        <w:rPr>
          <w:rStyle w:val="FootnoteReference"/>
          <w:rFonts w:ascii="Times New Roman" w:hAnsi="Times New Roman"/>
        </w:rPr>
        <w:footnoteRef/>
      </w:r>
      <w:r w:rsidRPr="00F2305B">
        <w:rPr>
          <w:rFonts w:ascii="Times New Roman" w:hAnsi="Times New Roman"/>
        </w:rPr>
        <w:t xml:space="preserve">  Two entities permit virtual participation for the open meetings act under Ohio Rev. Code § 121.22(C), Ohio Board of Regents and board of directors of a port authority.</w:t>
      </w:r>
      <w:r>
        <w:rPr>
          <w:rFonts w:ascii="Times New Roman" w:hAnsi="Times New Roman"/>
          <w:sz w:val="22"/>
          <w:szCs w:val="22"/>
        </w:rPr>
        <w:t xml:space="preserve"> </w:t>
      </w:r>
      <w:r w:rsidRPr="00703D75">
        <w:rPr>
          <w:rFonts w:ascii="Times New Roman" w:hAnsi="Times New Roman"/>
          <w:b/>
          <w:color w:val="FF0000"/>
          <w:sz w:val="22"/>
          <w:szCs w:val="22"/>
          <w:u w:val="double"/>
        </w:rPr>
        <w:t>Additionally, during the period of</w:t>
      </w:r>
      <w:r>
        <w:rPr>
          <w:rFonts w:ascii="Times New Roman" w:hAnsi="Times New Roman"/>
          <w:b/>
          <w:color w:val="FF0000"/>
          <w:sz w:val="22"/>
          <w:szCs w:val="22"/>
          <w:u w:val="double"/>
        </w:rPr>
        <w:t xml:space="preserve"> </w:t>
      </w:r>
      <w:r w:rsidRPr="00703D75">
        <w:rPr>
          <w:rFonts w:ascii="Times New Roman" w:hAnsi="Times New Roman"/>
          <w:b/>
          <w:color w:val="FF0000"/>
          <w:sz w:val="22"/>
          <w:szCs w:val="22"/>
          <w:u w:val="double"/>
        </w:rPr>
        <w:t>March 9</w:t>
      </w:r>
      <w:r>
        <w:rPr>
          <w:rFonts w:ascii="Times New Roman" w:hAnsi="Times New Roman"/>
          <w:b/>
          <w:color w:val="FF0000"/>
          <w:sz w:val="22"/>
          <w:szCs w:val="22"/>
          <w:u w:val="double"/>
        </w:rPr>
        <w:t>,</w:t>
      </w:r>
      <w:r w:rsidRPr="00703D75">
        <w:rPr>
          <w:rFonts w:ascii="Times New Roman" w:hAnsi="Times New Roman"/>
          <w:b/>
          <w:color w:val="FF0000"/>
          <w:sz w:val="22"/>
          <w:szCs w:val="22"/>
          <w:u w:val="double"/>
        </w:rPr>
        <w:t xml:space="preserve"> 2020</w:t>
      </w:r>
      <w:r>
        <w:rPr>
          <w:rFonts w:ascii="Times New Roman" w:hAnsi="Times New Roman"/>
          <w:b/>
          <w:color w:val="FF0000"/>
          <w:sz w:val="22"/>
          <w:szCs w:val="22"/>
          <w:u w:val="double"/>
        </w:rPr>
        <w:t xml:space="preserve"> - July 1, 2021; </w:t>
      </w:r>
      <w:r w:rsidRPr="00703D75">
        <w:rPr>
          <w:rFonts w:ascii="Times New Roman" w:hAnsi="Times New Roman"/>
          <w:b/>
          <w:color w:val="FF0000"/>
          <w:sz w:val="22"/>
          <w:szCs w:val="22"/>
          <w:u w:val="double"/>
        </w:rPr>
        <w:t>members of a public body may hold and attend meetings and may conduct and attend hearings by means of teleconference, video conference, or any other similar electronic technology [</w:t>
      </w:r>
      <w:r>
        <w:rPr>
          <w:rFonts w:ascii="Times New Roman" w:hAnsi="Times New Roman"/>
          <w:b/>
          <w:color w:val="FF0000"/>
          <w:sz w:val="22"/>
          <w:szCs w:val="22"/>
          <w:u w:val="double"/>
        </w:rPr>
        <w:t xml:space="preserve">Section 12 of </w:t>
      </w:r>
      <w:r w:rsidRPr="00703D75">
        <w:rPr>
          <w:rFonts w:ascii="Times New Roman" w:hAnsi="Times New Roman"/>
          <w:b/>
          <w:color w:val="FF0000"/>
          <w:sz w:val="22"/>
          <w:szCs w:val="22"/>
          <w:u w:val="double"/>
        </w:rPr>
        <w:t xml:space="preserve">Am. Sub. H. B. No. 197 </w:t>
      </w:r>
      <w:r>
        <w:rPr>
          <w:rFonts w:ascii="Times New Roman" w:hAnsi="Times New Roman"/>
          <w:b/>
          <w:color w:val="FF0000"/>
          <w:sz w:val="22"/>
          <w:szCs w:val="22"/>
          <w:u w:val="double"/>
        </w:rPr>
        <w:t>133</w:t>
      </w:r>
      <w:r w:rsidRPr="00703D75">
        <w:rPr>
          <w:rFonts w:ascii="Times New Roman" w:hAnsi="Times New Roman"/>
          <w:b/>
          <w:color w:val="FF0000"/>
          <w:sz w:val="22"/>
          <w:szCs w:val="22"/>
          <w:u w:val="double"/>
          <w:vertAlign w:val="superscript"/>
        </w:rPr>
        <w:t>rd</w:t>
      </w:r>
      <w:r>
        <w:rPr>
          <w:rFonts w:ascii="Times New Roman" w:hAnsi="Times New Roman"/>
          <w:b/>
          <w:color w:val="FF0000"/>
          <w:sz w:val="22"/>
          <w:szCs w:val="22"/>
          <w:u w:val="double"/>
        </w:rPr>
        <w:t xml:space="preserve"> </w:t>
      </w:r>
      <w:proofErr w:type="spellStart"/>
      <w:r>
        <w:rPr>
          <w:rFonts w:ascii="Times New Roman" w:hAnsi="Times New Roman"/>
          <w:b/>
          <w:color w:val="FF0000"/>
          <w:sz w:val="22"/>
          <w:szCs w:val="22"/>
          <w:u w:val="double"/>
        </w:rPr>
        <w:t>G.A</w:t>
      </w:r>
      <w:proofErr w:type="spellEnd"/>
      <w:r w:rsidRPr="00703D75">
        <w:rPr>
          <w:rFonts w:ascii="Times New Roman" w:hAnsi="Times New Roman"/>
          <w:b/>
          <w:color w:val="FF0000"/>
          <w:sz w:val="22"/>
          <w:szCs w:val="22"/>
          <w:u w:val="double"/>
        </w:rPr>
        <w:t xml:space="preserve"> as amended by Sect</w:t>
      </w:r>
      <w:r>
        <w:rPr>
          <w:rFonts w:ascii="Times New Roman" w:hAnsi="Times New Roman"/>
          <w:b/>
          <w:color w:val="FF0000"/>
          <w:sz w:val="22"/>
          <w:szCs w:val="22"/>
          <w:u w:val="double"/>
        </w:rPr>
        <w:t>ion 12 of Am. Sub. H. B. No. 404</w:t>
      </w:r>
      <w:r w:rsidRPr="00703D75">
        <w:rPr>
          <w:rFonts w:ascii="Times New Roman" w:hAnsi="Times New Roman"/>
          <w:b/>
          <w:color w:val="FF0000"/>
          <w:sz w:val="22"/>
          <w:szCs w:val="22"/>
          <w:u w:val="double"/>
        </w:rPr>
        <w:t xml:space="preserve"> 133</w:t>
      </w:r>
      <w:r w:rsidRPr="00703D75">
        <w:rPr>
          <w:rFonts w:ascii="Times New Roman" w:hAnsi="Times New Roman"/>
          <w:b/>
          <w:color w:val="FF0000"/>
          <w:sz w:val="22"/>
          <w:szCs w:val="22"/>
          <w:u w:val="double"/>
          <w:vertAlign w:val="superscript"/>
        </w:rPr>
        <w:t>rd</w:t>
      </w:r>
      <w:r>
        <w:rPr>
          <w:rFonts w:ascii="Times New Roman" w:hAnsi="Times New Roman"/>
          <w:b/>
          <w:color w:val="FF0000"/>
          <w:sz w:val="22"/>
          <w:szCs w:val="22"/>
          <w:u w:val="double"/>
        </w:rPr>
        <w:t xml:space="preserve"> </w:t>
      </w:r>
      <w:proofErr w:type="spellStart"/>
      <w:r w:rsidRPr="00703D75">
        <w:rPr>
          <w:rFonts w:ascii="Times New Roman" w:hAnsi="Times New Roman"/>
          <w:b/>
          <w:color w:val="FF0000"/>
          <w:sz w:val="22"/>
          <w:szCs w:val="22"/>
          <w:u w:val="double"/>
        </w:rPr>
        <w:t>G.A</w:t>
      </w:r>
      <w:proofErr w:type="spellEnd"/>
      <w:r>
        <w:rPr>
          <w:rFonts w:ascii="Times New Roman" w:hAnsi="Times New Roman"/>
          <w:b/>
          <w:color w:val="FF0000"/>
          <w:sz w:val="22"/>
          <w:szCs w:val="22"/>
          <w:u w:val="double"/>
        </w:rPr>
        <w:t>.</w:t>
      </w:r>
      <w:r w:rsidRPr="00703D75">
        <w:rPr>
          <w:rFonts w:ascii="Times New Roman" w:hAnsi="Times New Roman"/>
          <w:b/>
          <w:color w:val="FF0000"/>
          <w:sz w:val="22"/>
          <w:szCs w:val="22"/>
          <w:u w:val="double"/>
        </w:rPr>
        <w:t xml:space="preserve">] </w:t>
      </w:r>
    </w:p>
    <w:p w14:paraId="6F2B8695" w14:textId="77777777" w:rsidR="006C6DDE" w:rsidRPr="00F2305B" w:rsidRDefault="006C6DDE">
      <w:pPr>
        <w:pStyle w:val="FootnoteText"/>
        <w:rPr>
          <w:rFonts w:ascii="Times New Roman" w:hAnsi="Times New Roman"/>
        </w:rPr>
      </w:pPr>
    </w:p>
  </w:footnote>
  <w:footnote w:id="2">
    <w:p w14:paraId="548BC47C" w14:textId="2C9C952A" w:rsidR="006C6DDE" w:rsidRDefault="006C6DDE" w:rsidP="008F1237">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w:t>
      </w:r>
      <w:proofErr w:type="spellStart"/>
      <w:r w:rsidRPr="005778C1">
        <w:rPr>
          <w:rFonts w:ascii="Times New Roman" w:hAnsi="Times New Roman"/>
        </w:rPr>
        <w:t>C</w:t>
      </w:r>
      <w:r>
        <w:rPr>
          <w:rFonts w:ascii="Times New Roman" w:hAnsi="Times New Roman"/>
        </w:rPr>
        <w:t>.</w:t>
      </w:r>
      <w:r w:rsidRPr="005778C1">
        <w:rPr>
          <w:rFonts w:ascii="Times New Roman" w:hAnsi="Times New Roman"/>
        </w:rPr>
        <w:t>F</w:t>
      </w:r>
      <w:r>
        <w:rPr>
          <w:rFonts w:ascii="Times New Roman" w:hAnsi="Times New Roman"/>
        </w:rPr>
        <w:t>.</w:t>
      </w:r>
      <w:r w:rsidRPr="005778C1">
        <w:rPr>
          <w:rFonts w:ascii="Times New Roman" w:hAnsi="Times New Roman"/>
        </w:rPr>
        <w:t>R</w:t>
      </w:r>
      <w:proofErr w:type="spellEnd"/>
      <w:r>
        <w:rPr>
          <w:rFonts w:ascii="Times New Roman" w:hAnsi="Times New Roman"/>
        </w:rPr>
        <w:t>.</w:t>
      </w:r>
      <w:r w:rsidRPr="005778C1">
        <w:rPr>
          <w:rFonts w:ascii="Times New Roman" w:hAnsi="Times New Roman"/>
        </w:rPr>
        <w:t xml:space="preserve"> </w:t>
      </w:r>
      <w:r>
        <w:rPr>
          <w:rFonts w:ascii="Times New Roman" w:hAnsi="Times New Roman"/>
        </w:rPr>
        <w:t xml:space="preserve">§ 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 xml:space="preserve">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w:t>
      </w:r>
      <w:proofErr w:type="spellStart"/>
      <w:r w:rsidRPr="00F4577C">
        <w:rPr>
          <w:rFonts w:ascii="Times New Roman" w:hAnsi="Times New Roman"/>
        </w:rPr>
        <w:t>C</w:t>
      </w:r>
      <w:r>
        <w:rPr>
          <w:rFonts w:ascii="Times New Roman" w:hAnsi="Times New Roman"/>
        </w:rPr>
        <w:t>.</w:t>
      </w:r>
      <w:r w:rsidRPr="00F4577C">
        <w:rPr>
          <w:rFonts w:ascii="Times New Roman" w:hAnsi="Times New Roman"/>
        </w:rPr>
        <w:t>F</w:t>
      </w:r>
      <w:r>
        <w:rPr>
          <w:rFonts w:ascii="Times New Roman" w:hAnsi="Times New Roman"/>
        </w:rPr>
        <w:t>.</w:t>
      </w:r>
      <w:r w:rsidRPr="00F4577C">
        <w:rPr>
          <w:rFonts w:ascii="Times New Roman" w:hAnsi="Times New Roman"/>
        </w:rPr>
        <w:t>R</w:t>
      </w:r>
      <w:proofErr w:type="spellEnd"/>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p w14:paraId="0E132608" w14:textId="77777777" w:rsidR="006C6DDE" w:rsidRPr="005778C1" w:rsidRDefault="006C6DDE" w:rsidP="008F1237">
      <w:pPr>
        <w:pStyle w:val="FootnoteText"/>
        <w:jc w:val="both"/>
        <w:rPr>
          <w:rFonts w:ascii="Times New Roman" w:hAnsi="Times New Roman"/>
        </w:rPr>
      </w:pPr>
    </w:p>
  </w:footnote>
  <w:footnote w:id="3">
    <w:p w14:paraId="1F84E656" w14:textId="5802E4AC" w:rsidR="006C6DDE" w:rsidRPr="005778C1" w:rsidRDefault="006C6DDE" w:rsidP="004D7F47">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800DA9">
        <w:rPr>
          <w:rFonts w:ascii="Times New Roman" w:hAnsi="Times New Roman"/>
          <w:u w:val="wave"/>
        </w:rPr>
        <w:t xml:space="preserve">However, per </w:t>
      </w:r>
      <w:r>
        <w:rPr>
          <w:rFonts w:ascii="Times New Roman" w:hAnsi="Times New Roman"/>
          <w:u w:val="wave"/>
        </w:rPr>
        <w:t xml:space="preserve">Ohio Rev. Code </w:t>
      </w:r>
      <w:r>
        <w:rPr>
          <w:rFonts w:ascii="Times New Roman" w:hAnsi="Times New Roman"/>
        </w:rPr>
        <w:t>§</w:t>
      </w:r>
      <w:r>
        <w:rPr>
          <w:rFonts w:ascii="Times New Roman" w:hAnsi="Times New Roman"/>
          <w:u w:val="wave"/>
        </w:rPr>
        <w:t xml:space="preserve"> 3314.02(B)(5), a school established as a conversion school that later changes to a sponsor that is not a traditional public school or ESC, shall then be deemed a start-up school.  Auditors may check the AOS master community school spreadsheet for the schools designation as a start-up or conversion school.</w:t>
      </w:r>
    </w:p>
  </w:footnote>
  <w:footnote w:id="4">
    <w:p w14:paraId="5678FA78" w14:textId="5B7C3AF1" w:rsidR="006C6DDE" w:rsidRPr="009722DB" w:rsidRDefault="006C6DDE"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 xml:space="preserve">Ohio Ethics Commission Opinion No. 2008-01 prohibits a school employee (including coaches, teachers, administrators, supervisors, </w:t>
      </w:r>
      <w:proofErr w:type="gramStart"/>
      <w:r w:rsidRPr="009722DB">
        <w:rPr>
          <w:rFonts w:ascii="Times New Roman" w:hAnsi="Times New Roman"/>
        </w:rPr>
        <w:t>district</w:t>
      </w:r>
      <w:proofErr w:type="gramEnd"/>
      <w:r w:rsidRPr="009722DB">
        <w:rPr>
          <w:rFonts w:ascii="Times New Roman" w:hAnsi="Times New Roman"/>
        </w:rPr>
        <w:t xml:space="preserve">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w:t>
      </w:r>
      <w:proofErr w:type="spellStart"/>
      <w:r w:rsidRPr="009722DB">
        <w:rPr>
          <w:rFonts w:ascii="Times New Roman" w:hAnsi="Times New Roman"/>
        </w:rPr>
        <w:t>ESCs</w:t>
      </w:r>
      <w:proofErr w:type="spellEnd"/>
      <w:r w:rsidRPr="009722DB">
        <w:rPr>
          <w:rFonts w:ascii="Times New Roman" w:hAnsi="Times New Roman"/>
        </w:rPr>
        <w:t xml:space="preserve">), and community schools operating under Ohio Rev. Code § 3314.03.  </w:t>
      </w:r>
    </w:p>
  </w:footnote>
  <w:footnote w:id="5">
    <w:p w14:paraId="7A2DBEF5" w14:textId="6FAFE90D" w:rsidR="006C6DDE" w:rsidRDefault="006C6DDE" w:rsidP="00604454">
      <w:pPr>
        <w:pStyle w:val="FootnoteText"/>
        <w:jc w:val="both"/>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p w14:paraId="4A8C899D" w14:textId="77777777" w:rsidR="006C6DDE" w:rsidRPr="00F87B8F" w:rsidRDefault="006C6DDE" w:rsidP="00604454">
      <w:pPr>
        <w:pStyle w:val="FootnoteText"/>
        <w:jc w:val="both"/>
        <w:rPr>
          <w:rFonts w:ascii="Times New Roman" w:hAnsi="Times New Roman"/>
        </w:rPr>
      </w:pPr>
    </w:p>
  </w:footnote>
  <w:footnote w:id="6">
    <w:p w14:paraId="4803B663" w14:textId="7DE08A1A" w:rsidR="006C6DDE" w:rsidRPr="00C24E5A" w:rsidRDefault="006C6DDE"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F87B8F">
        <w:rPr>
          <w:rFonts w:ascii="Times New Roman" w:hAnsi="Times New Roman"/>
        </w:rPr>
        <w:t>OCS 1-29</w:t>
      </w:r>
      <w:r w:rsidRPr="00C24E5A">
        <w:rPr>
          <w:rFonts w:ascii="Times New Roman" w:hAnsi="Times New Roman"/>
        </w:rPr>
        <w:t xml:space="preserve"> for further guidance.</w:t>
      </w:r>
    </w:p>
  </w:footnote>
  <w:footnote w:id="7">
    <w:p w14:paraId="5178D7B2" w14:textId="77777777" w:rsidR="006C6DDE" w:rsidRPr="00C24E5A" w:rsidRDefault="006C6DDE" w:rsidP="00723519">
      <w:pPr>
        <w:pStyle w:val="FootnoteText"/>
        <w:jc w:val="both"/>
        <w:rPr>
          <w:rFonts w:ascii="Times New Roman" w:hAnsi="Times New Roman"/>
        </w:rPr>
      </w:pPr>
    </w:p>
    <w:p w14:paraId="23F79870" w14:textId="03E3359B" w:rsidR="006C6DDE" w:rsidRPr="00800550" w:rsidRDefault="006C6DDE"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F87B8F">
        <w:rPr>
          <w:rFonts w:ascii="Times New Roman" w:hAnsi="Times New Roman"/>
        </w:rPr>
        <w:t>OCS 1-29</w:t>
      </w:r>
      <w:r w:rsidRPr="00C24E5A">
        <w:rPr>
          <w:rFonts w:ascii="Times New Roman" w:hAnsi="Times New Roman"/>
        </w:rPr>
        <w:t xml:space="preserve"> for </w:t>
      </w:r>
      <w:r w:rsidRPr="00800550">
        <w:rPr>
          <w:rFonts w:ascii="Times New Roman" w:hAnsi="Times New Roman"/>
        </w:rPr>
        <w:t>further guidance.</w:t>
      </w:r>
    </w:p>
  </w:footnote>
  <w:footnote w:id="8">
    <w:p w14:paraId="7BE30137" w14:textId="3A955AAE" w:rsidR="006C6DDE" w:rsidRDefault="006C6DDE" w:rsidP="00144436">
      <w:pPr>
        <w:pStyle w:val="FootnoteText"/>
        <w:rPr>
          <w:rFonts w:ascii="Times New Roman" w:hAnsi="Times New Roman"/>
        </w:rPr>
      </w:pPr>
      <w:r w:rsidRPr="00013F1A">
        <w:rPr>
          <w:rStyle w:val="FootnoteReference"/>
          <w:rFonts w:ascii="Times New Roman" w:hAnsi="Times New Roman"/>
        </w:rPr>
        <w:footnoteRef/>
      </w:r>
      <w:r w:rsidRPr="00013F1A">
        <w:rPr>
          <w:rFonts w:ascii="Times New Roman" w:hAnsi="Times New Roman"/>
        </w:rPr>
        <w:t xml:space="preserve"> “Majority” = greater than 50%.</w:t>
      </w:r>
    </w:p>
    <w:p w14:paraId="0EC4A19A" w14:textId="77777777" w:rsidR="006C6DDE" w:rsidRPr="00013F1A" w:rsidRDefault="006C6DDE" w:rsidP="00144436">
      <w:pPr>
        <w:pStyle w:val="FootnoteText"/>
        <w:rPr>
          <w:rFonts w:ascii="Times New Roman" w:hAnsi="Times New Roman"/>
        </w:rPr>
      </w:pPr>
    </w:p>
  </w:footnote>
  <w:footnote w:id="9">
    <w:p w14:paraId="2AAA4B12" w14:textId="37BB3C31" w:rsidR="006C6DDE" w:rsidRDefault="006C6DDE" w:rsidP="00D36DCC">
      <w:pPr>
        <w:pStyle w:val="CommentText"/>
        <w:jc w:val="both"/>
      </w:pPr>
      <w:r w:rsidRPr="00B90DE3">
        <w:rPr>
          <w:rStyle w:val="FootnoteReference"/>
          <w:rFonts w:ascii="Times New Roman" w:hAnsi="Times New Roman"/>
        </w:rPr>
        <w:footnoteRef/>
      </w:r>
      <w:r w:rsidRPr="00B90DE3">
        <w:rPr>
          <w:rFonts w:ascii="Times New Roman" w:hAnsi="Times New Roman"/>
        </w:rPr>
        <w:t xml:space="preserve"> </w:t>
      </w:r>
      <w:r>
        <w:rPr>
          <w:rFonts w:ascii="Times New Roman" w:hAnsi="Times New Roman"/>
        </w:rPr>
        <w:t>There is a typo in</w:t>
      </w:r>
      <w:r w:rsidRPr="00B90DE3">
        <w:rPr>
          <w:rFonts w:ascii="Times New Roman" w:hAnsi="Times New Roman"/>
        </w:rPr>
        <w:t xml:space="preserve"> Ohio Admin. Code 3301-102-10(A) </w:t>
      </w:r>
      <w:r>
        <w:rPr>
          <w:rFonts w:ascii="Times New Roman" w:hAnsi="Times New Roman"/>
        </w:rPr>
        <w:t xml:space="preserve">that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3301.0712(D</w:t>
      </w:r>
      <w:proofErr w:type="gramStart"/>
      <w:r>
        <w:rPr>
          <w:rFonts w:ascii="Times New Roman" w:hAnsi="Times New Roman"/>
        </w:rPr>
        <w:t>)(</w:t>
      </w:r>
      <w:proofErr w:type="gramEnd"/>
      <w:r>
        <w:rPr>
          <w:rFonts w:ascii="Times New Roman" w:hAnsi="Times New Roman"/>
        </w:rPr>
        <w:t xml:space="preserve">6), as (D)(6) does not exist. </w:t>
      </w:r>
      <w:r w:rsidRPr="00B90DE3">
        <w:rPr>
          <w:rFonts w:ascii="Times New Roman" w:hAnsi="Times New Roman"/>
        </w:rPr>
        <w:t xml:space="preserve">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sidRPr="00B90DE3">
        <w:rPr>
          <w:rFonts w:ascii="Times New Roman" w:hAnsi="Times New Roman"/>
        </w:rPr>
        <w:t>3314.36</w:t>
      </w:r>
      <w:r>
        <w:rPr>
          <w:rFonts w:ascii="Times New Roman" w:hAnsi="Times New Roman"/>
        </w:rPr>
        <w:t xml:space="preserve"> contains similar language and it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3301.0712</w:t>
      </w:r>
      <w:r w:rsidRPr="00B90DE3">
        <w:rPr>
          <w:rFonts w:ascii="Times New Roman" w:hAnsi="Times New Roman"/>
        </w:rPr>
        <w:t xml:space="preserve"> (D</w:t>
      </w:r>
      <w:proofErr w:type="gramStart"/>
      <w:r w:rsidRPr="00B90DE3">
        <w:rPr>
          <w:rFonts w:ascii="Times New Roman" w:hAnsi="Times New Roman"/>
        </w:rPr>
        <w:t>)(</w:t>
      </w:r>
      <w:proofErr w:type="gramEnd"/>
      <w:r w:rsidRPr="00B90DE3">
        <w:rPr>
          <w:rFonts w:ascii="Times New Roman" w:hAnsi="Times New Roman"/>
        </w:rPr>
        <w:t>5).</w:t>
      </w:r>
    </w:p>
  </w:footnote>
  <w:footnote w:id="10">
    <w:p w14:paraId="0F1A7510" w14:textId="24D36A76" w:rsidR="006C6DDE" w:rsidRDefault="006C6DDE" w:rsidP="00B072DA">
      <w:pPr>
        <w:pStyle w:val="FootnoteText"/>
        <w:jc w:val="both"/>
        <w:rPr>
          <w:rFonts w:ascii="Times New Roman" w:hAnsi="Times New Roman"/>
        </w:rPr>
      </w:pPr>
      <w:r w:rsidRPr="00072AAF">
        <w:rPr>
          <w:rStyle w:val="FootnoteReference"/>
          <w:rFonts w:ascii="Times New Roman" w:hAnsi="Times New Roman"/>
        </w:rPr>
        <w:footnoteRef/>
      </w:r>
      <w:r w:rsidRPr="00072AAF">
        <w:t xml:space="preserve"> </w:t>
      </w:r>
      <w:r w:rsidRPr="00072AAF">
        <w:rPr>
          <w:rFonts w:ascii="Times New Roman" w:hAnsi="Times New Roman"/>
        </w:rPr>
        <w:t>We are not currently aware of any Dropout Prevention and Recovery schools that received the designation under Ohio Admin. Code 3301-102-10(A</w:t>
      </w:r>
      <w:proofErr w:type="gramStart"/>
      <w:r w:rsidRPr="00072AAF">
        <w:rPr>
          <w:rFonts w:ascii="Times New Roman" w:hAnsi="Times New Roman"/>
        </w:rPr>
        <w:t>)(</w:t>
      </w:r>
      <w:proofErr w:type="gramEnd"/>
      <w:r w:rsidRPr="00072AAF">
        <w:rPr>
          <w:rFonts w:ascii="Times New Roman" w:hAnsi="Times New Roman"/>
        </w:rPr>
        <w:t>1), and therefore testing steps have not been included for such.  Contact CFAE’s Community School Specialist if one is encountered.</w:t>
      </w:r>
    </w:p>
    <w:p w14:paraId="5DA80649" w14:textId="77777777" w:rsidR="006C6DDE" w:rsidRPr="00072AAF" w:rsidRDefault="006C6DDE" w:rsidP="00B072DA">
      <w:pPr>
        <w:pStyle w:val="FootnoteText"/>
        <w:jc w:val="both"/>
        <w:rPr>
          <w:rFonts w:ascii="Times New Roman" w:hAnsi="Times New Roman"/>
        </w:rPr>
      </w:pPr>
    </w:p>
  </w:footnote>
  <w:footnote w:id="11">
    <w:p w14:paraId="3D70AACA" w14:textId="157D519F" w:rsidR="006C6DDE" w:rsidRPr="00072AAF" w:rsidRDefault="006C6DDE" w:rsidP="005D3225">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This application may be different than the DOPR application linked to above.  As long as ODE approved it, auditors should not take exception.</w:t>
      </w:r>
    </w:p>
    <w:p w14:paraId="08AB86B0" w14:textId="77777777" w:rsidR="006C6DDE" w:rsidRPr="00072AAF" w:rsidRDefault="006C6DDE">
      <w:pPr>
        <w:pStyle w:val="FootnoteText"/>
        <w:rPr>
          <w:rFonts w:ascii="Times New Roman" w:hAnsi="Times New Roman"/>
        </w:rPr>
      </w:pPr>
    </w:p>
  </w:footnote>
  <w:footnote w:id="12">
    <w:p w14:paraId="59F57482" w14:textId="5D88F9E6" w:rsidR="006C6DDE" w:rsidRPr="00013F1A" w:rsidRDefault="006C6DDE" w:rsidP="00144436">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Even though ODE does not require resubmission of certain information with the application for reoccurring applicants, auditors will still test all eligibility requirements.</w:t>
      </w:r>
    </w:p>
  </w:footnote>
  <w:footnote w:id="13">
    <w:p w14:paraId="297112CF" w14:textId="5C4471BB" w:rsidR="006C6DDE" w:rsidRPr="006F051B" w:rsidRDefault="006C6DDE" w:rsidP="009371B5">
      <w:pPr>
        <w:pStyle w:val="FootnoteText"/>
        <w:jc w:val="both"/>
        <w:rPr>
          <w:rFonts w:ascii="Times New Roman" w:hAnsi="Times New Roman"/>
          <w:b/>
          <w:i/>
          <w:u w:val="double"/>
        </w:rPr>
      </w:pPr>
      <w:r w:rsidRPr="006F051B">
        <w:rPr>
          <w:rStyle w:val="FootnoteReference"/>
        </w:rPr>
        <w:footnoteRef/>
      </w:r>
      <w:r w:rsidRPr="006F051B">
        <w:rPr>
          <w:b/>
          <w:i/>
          <w:color w:val="FF0000"/>
          <w:u w:val="double"/>
        </w:rPr>
        <w:t xml:space="preserve"> </w:t>
      </w:r>
      <w:r w:rsidRPr="006F051B">
        <w:rPr>
          <w:rFonts w:ascii="Times New Roman" w:hAnsi="Times New Roman"/>
          <w:b/>
          <w:color w:val="FF0000"/>
          <w:u w:val="double"/>
        </w:rPr>
        <w:t>The requirement for F</w:t>
      </w:r>
      <w:r>
        <w:rPr>
          <w:rFonts w:ascii="Times New Roman" w:hAnsi="Times New Roman"/>
          <w:b/>
          <w:color w:val="FF0000"/>
          <w:u w:val="double"/>
        </w:rPr>
        <w:t>Y</w:t>
      </w:r>
      <w:r w:rsidRPr="006F051B">
        <w:rPr>
          <w:rFonts w:ascii="Times New Roman" w:hAnsi="Times New Roman"/>
          <w:b/>
          <w:color w:val="FF0000"/>
          <w:u w:val="double"/>
        </w:rPr>
        <w:t xml:space="preserve"> 2020 state testing was removed by the legislature</w:t>
      </w:r>
      <w:r w:rsidRPr="00B03810">
        <w:rPr>
          <w:rFonts w:ascii="Times New Roman" w:hAnsi="Times New Roman"/>
          <w:b/>
          <w:color w:val="FF0000"/>
          <w:u w:val="double"/>
        </w:rPr>
        <w:t xml:space="preserve">, and subsequent federal waiver, </w:t>
      </w:r>
      <w:r w:rsidRPr="006F051B">
        <w:rPr>
          <w:rFonts w:ascii="Times New Roman" w:hAnsi="Times New Roman"/>
          <w:b/>
          <w:color w:val="FF0000"/>
          <w:u w:val="double"/>
        </w:rPr>
        <w:t xml:space="preserve">due to the COVID-19 pandemic.  </w:t>
      </w:r>
      <w:r>
        <w:rPr>
          <w:rFonts w:ascii="Times New Roman" w:hAnsi="Times New Roman"/>
          <w:b/>
          <w:color w:val="FF0000"/>
          <w:u w:val="double"/>
        </w:rPr>
        <w:t xml:space="preserve">For </w:t>
      </w:r>
      <w:proofErr w:type="gramStart"/>
      <w:r>
        <w:rPr>
          <w:rFonts w:ascii="Times New Roman" w:hAnsi="Times New Roman"/>
          <w:b/>
          <w:color w:val="FF0000"/>
          <w:u w:val="double"/>
        </w:rPr>
        <w:t>Fy</w:t>
      </w:r>
      <w:proofErr w:type="gramEnd"/>
      <w:r>
        <w:rPr>
          <w:rFonts w:ascii="Times New Roman" w:hAnsi="Times New Roman"/>
          <w:b/>
          <w:color w:val="FF0000"/>
          <w:u w:val="double"/>
        </w:rPr>
        <w:t xml:space="preserve"> 2021, 133 GA, HB 409, as amended by 134 GA, HB 67 removed the American History end-of-course examination requirement; and granted certain leniency to awarding Fy 2021 diplomas.</w:t>
      </w:r>
    </w:p>
  </w:footnote>
  <w:footnote w:id="14">
    <w:p w14:paraId="3507FDBE" w14:textId="77777777" w:rsidR="006C6DDE" w:rsidRPr="00800550" w:rsidRDefault="006C6DDE"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5">
    <w:p w14:paraId="4A758B63" w14:textId="000EEF0A" w:rsidR="006C6DDE" w:rsidRDefault="006C6DDE"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p w14:paraId="57F4F3C0" w14:textId="77777777" w:rsidR="006C6DDE" w:rsidRPr="006B2CE8" w:rsidRDefault="006C6DDE" w:rsidP="00206D34">
      <w:pPr>
        <w:autoSpaceDE w:val="0"/>
        <w:autoSpaceDN w:val="0"/>
        <w:adjustRightInd w:val="0"/>
        <w:jc w:val="both"/>
        <w:rPr>
          <w:rFonts w:ascii="Times New Roman" w:hAnsi="Times New Roman"/>
        </w:rPr>
      </w:pPr>
    </w:p>
  </w:footnote>
  <w:footnote w:id="16">
    <w:p w14:paraId="1A714296" w14:textId="77777777" w:rsidR="006C6DDE" w:rsidRPr="006B2CE8" w:rsidRDefault="006C6DDE"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7">
    <w:p w14:paraId="0614445F" w14:textId="05BBEA01" w:rsidR="006C6DDE" w:rsidRPr="000D2878" w:rsidRDefault="006C6DDE"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0D2878">
        <w:rPr>
          <w:rFonts w:ascii="Times New Roman" w:hAnsi="Times New Roman"/>
        </w:rPr>
        <w:t xml:space="preserve">This is effective for years beginning after December 31, 2016.  However; our office will not issue findings for recovery in accordance with this act or the 2017 Op. </w:t>
      </w:r>
      <w:r>
        <w:rPr>
          <w:rFonts w:ascii="Times New Roman" w:hAnsi="Times New Roman"/>
        </w:rPr>
        <w:t>Att’y</w:t>
      </w:r>
      <w:r w:rsidRPr="000D2878">
        <w:rPr>
          <w:rFonts w:ascii="Times New Roman" w:hAnsi="Times New Roman"/>
        </w:rPr>
        <w:t>. Gen. No. 2017-007 until audits performed for periods beginning after December 31, 2017.</w:t>
      </w:r>
    </w:p>
    <w:p w14:paraId="528F95C0" w14:textId="77777777" w:rsidR="006C6DDE" w:rsidRPr="00050D37" w:rsidRDefault="006C6DDE" w:rsidP="00E15269">
      <w:pPr>
        <w:pStyle w:val="FootnoteText"/>
        <w:jc w:val="both"/>
        <w:rPr>
          <w:rFonts w:ascii="Times New Roman" w:hAnsi="Times New Roman"/>
        </w:rPr>
      </w:pPr>
    </w:p>
  </w:footnote>
  <w:footnote w:id="18">
    <w:p w14:paraId="6970CB27" w14:textId="77777777" w:rsidR="006C6DDE" w:rsidRPr="000D2878" w:rsidRDefault="006C6DDE">
      <w:pPr>
        <w:pStyle w:val="FootnoteText"/>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Cafeteria plans may qualify as Qualified Small Employer Reimbursement Arrangements.</w:t>
      </w:r>
    </w:p>
  </w:footnote>
  <w:footnote w:id="19">
    <w:p w14:paraId="272E804B" w14:textId="0F6DE0CA" w:rsidR="006C6DDE" w:rsidRPr="000D2878" w:rsidRDefault="006C6DDE" w:rsidP="00523FFF">
      <w:pPr>
        <w:pStyle w:val="FootnoteText"/>
        <w:jc w:val="both"/>
        <w:rPr>
          <w:rFonts w:ascii="Times New Roman" w:hAnsi="Times New Roman"/>
        </w:rPr>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 xml:space="preserve">example, a township official who obtained coverage through an outside employer sought reimbursement for this outside employer’s portion of his insurance premium.  This is not permitted by law.  Townships can only reimburse for the official’s out-of-pocket portion of the premium </w:t>
      </w:r>
      <w:r>
        <w:rPr>
          <w:rFonts w:ascii="Times New Roman" w:hAnsi="Times New Roman"/>
        </w:rPr>
        <w:t>(</w:t>
      </w:r>
      <w:r w:rsidRPr="000D2878">
        <w:rPr>
          <w:rFonts w:ascii="Times New Roman" w:hAnsi="Times New Roman"/>
        </w:rPr>
        <w:t xml:space="preserve">unless the reimbursement is integrated with another group health plan in accordance with federal law) </w:t>
      </w:r>
      <w:r w:rsidRPr="007818DF">
        <w:rPr>
          <w:rFonts w:ascii="Times New Roman" w:hAnsi="Times New Roman"/>
        </w:rPr>
        <w:t>– up to the average amount of premiums paid under the township’s health insura</w:t>
      </w:r>
      <w:r w:rsidRPr="003C64E9">
        <w:rPr>
          <w:rFonts w:ascii="Times New Roman" w:hAnsi="Times New Roman"/>
        </w:rPr>
        <w:t>nce plan</w:t>
      </w:r>
      <w:r w:rsidRPr="000D2878">
        <w:rPr>
          <w:rFonts w:ascii="Times New Roman" w:hAnsi="Times New Roman"/>
        </w:rPr>
        <w:t>.  These reimbursements do not qualify as a “group health plan” or as a “qualified small employer health reimbursement arrangement.”  (2018 Op. Att</w:t>
      </w:r>
      <w:r>
        <w:rPr>
          <w:rFonts w:ascii="Times New Roman" w:hAnsi="Times New Roman"/>
        </w:rPr>
        <w:t>’</w:t>
      </w:r>
      <w:r w:rsidRPr="000D2878">
        <w:rPr>
          <w:rFonts w:ascii="Times New Roman" w:hAnsi="Times New Roman"/>
        </w:rPr>
        <w:t>y. Gen. No. 2018-001)</w:t>
      </w:r>
    </w:p>
  </w:footnote>
  <w:footnote w:id="20">
    <w:p w14:paraId="01BA2831" w14:textId="77777777" w:rsidR="006C6DDE" w:rsidRPr="00264E0A" w:rsidRDefault="006C6DDE" w:rsidP="00D7559F">
      <w:pPr>
        <w:pStyle w:val="FootnoteText"/>
        <w:jc w:val="both"/>
        <w:rPr>
          <w:rFonts w:ascii="Times New Roman" w:hAnsi="Times New Roman"/>
        </w:rPr>
      </w:pPr>
      <w:r w:rsidRPr="00264E0A">
        <w:rPr>
          <w:rFonts w:ascii="Times New Roman" w:hAnsi="Times New Roman"/>
          <w:vertAlign w:val="superscript"/>
        </w:rPr>
        <w:footnoteRef/>
      </w:r>
      <w:r w:rsidRPr="00264E0A">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6C6DDE" w:rsidRPr="00264E0A" w:rsidRDefault="006C6DDE" w:rsidP="00D7559F">
      <w:pPr>
        <w:pStyle w:val="FootnoteText"/>
        <w:jc w:val="both"/>
        <w:rPr>
          <w:rFonts w:ascii="Times New Roman" w:hAnsi="Times New Roman"/>
        </w:rPr>
      </w:pPr>
    </w:p>
    <w:p w14:paraId="0EFD6D99" w14:textId="77777777" w:rsidR="006C6DDE" w:rsidRPr="00264E0A" w:rsidRDefault="006C6DDE" w:rsidP="00D7559F">
      <w:pPr>
        <w:pStyle w:val="FootnoteText"/>
        <w:jc w:val="both"/>
        <w:rPr>
          <w:rFonts w:ascii="Times New Roman" w:hAnsi="Times New Roman"/>
        </w:rPr>
      </w:pPr>
      <w:r w:rsidRPr="00264E0A">
        <w:rPr>
          <w:rFonts w:ascii="Times New Roman" w:hAnsi="Times New Roman"/>
        </w:rPr>
        <w:t xml:space="preserve">The township fiscal officer may deduct from a township employee's salary or wages the amount authorized to be paid by the employee for one or more qualified benefits available under section 125 of the "Internal Revenue Code of 1986," 26 </w:t>
      </w:r>
      <w:proofErr w:type="spellStart"/>
      <w:r w:rsidRPr="00264E0A">
        <w:rPr>
          <w:rFonts w:ascii="Times New Roman" w:hAnsi="Times New Roman"/>
        </w:rPr>
        <w:t>U.S.C</w:t>
      </w:r>
      <w:proofErr w:type="spellEnd"/>
      <w:r w:rsidRPr="00264E0A">
        <w:rPr>
          <w:rFonts w:ascii="Times New Roman" w:hAnsi="Times New Roman"/>
        </w:rPr>
        <w:t>.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6C6DDE" w:rsidRPr="00264E0A" w:rsidRDefault="006C6DDE" w:rsidP="00D7559F">
      <w:pPr>
        <w:pStyle w:val="FootnoteText"/>
        <w:rPr>
          <w:rFonts w:ascii="Times New Roman" w:hAnsi="Times New Roman"/>
        </w:rPr>
      </w:pPr>
    </w:p>
  </w:footnote>
  <w:footnote w:id="21">
    <w:p w14:paraId="73B31399" w14:textId="34F3D7BC" w:rsidR="006C6DDE" w:rsidRDefault="006C6DDE" w:rsidP="00D7559F">
      <w:pPr>
        <w:pStyle w:val="FootnoteText"/>
        <w:jc w:val="both"/>
        <w:rPr>
          <w:rFonts w:ascii="Times New Roman" w:hAnsi="Times New Roman"/>
        </w:rPr>
      </w:pPr>
      <w:r w:rsidRPr="00264E0A">
        <w:rPr>
          <w:rStyle w:val="FootnoteReference"/>
          <w:rFonts w:ascii="Times New Roman" w:hAnsi="Times New Roman"/>
        </w:rPr>
        <w:footnoteRef/>
      </w:r>
      <w:r w:rsidRPr="00264E0A">
        <w:rPr>
          <w:rFonts w:ascii="Times New Roman" w:hAnsi="Times New Roman"/>
        </w:rPr>
        <w:t xml:space="preserve"> According to Internal Revenue Code [26 </w:t>
      </w:r>
      <w:proofErr w:type="spellStart"/>
      <w:r w:rsidRPr="00264E0A">
        <w:rPr>
          <w:rFonts w:ascii="Times New Roman" w:hAnsi="Times New Roman"/>
        </w:rPr>
        <w:t>U.S.C</w:t>
      </w:r>
      <w:proofErr w:type="spellEnd"/>
      <w:r w:rsidRPr="00264E0A">
        <w:rPr>
          <w:rFonts w:ascii="Times New Roman" w:hAnsi="Times New Roman"/>
        </w:rPr>
        <w:t xml:space="preserve">. § 125 (b)] cafeteria plan amounts are not included in gross income of a participant, unless the participants are greater than $130,000. </w:t>
      </w:r>
    </w:p>
    <w:p w14:paraId="09A81287" w14:textId="77777777" w:rsidR="006C6DDE" w:rsidRPr="00264E0A" w:rsidRDefault="006C6DDE" w:rsidP="00D7559F">
      <w:pPr>
        <w:pStyle w:val="FootnoteText"/>
        <w:jc w:val="both"/>
        <w:rPr>
          <w:rFonts w:ascii="Times New Roman" w:hAnsi="Times New Roman"/>
        </w:rPr>
      </w:pPr>
    </w:p>
  </w:footnote>
  <w:footnote w:id="22">
    <w:p w14:paraId="6212AD08" w14:textId="622E60FA" w:rsidR="006C6DDE" w:rsidRDefault="006C6DDE" w:rsidP="007938CC">
      <w:pPr>
        <w:pStyle w:val="FootnoteText"/>
      </w:pPr>
      <w:r w:rsidRPr="00264E0A">
        <w:rPr>
          <w:rStyle w:val="FootnoteReference"/>
          <w:rFonts w:ascii="Times New Roman" w:hAnsi="Times New Roman"/>
        </w:rPr>
        <w:footnoteRef/>
      </w:r>
      <w:r w:rsidRPr="00264E0A">
        <w:rPr>
          <w:rFonts w:ascii="Times New Roman" w:hAnsi="Times New Roman"/>
        </w:rPr>
        <w:t xml:space="preserve"> </w:t>
      </w:r>
      <w:r w:rsidRPr="008B59F5">
        <w:rPr>
          <w:rFonts w:ascii="Times New Roman" w:hAnsi="Times New Roman"/>
        </w:rPr>
        <w:t>See also</w:t>
      </w:r>
      <w:r w:rsidRPr="00264E0A">
        <w:rPr>
          <w:rFonts w:ascii="Times New Roman" w:hAnsi="Times New Roman"/>
        </w:rPr>
        <w:t xml:space="preserve"> </w:t>
      </w:r>
      <w:hyperlink r:id="rId1" w:history="1">
        <w:r>
          <w:rPr>
            <w:rStyle w:val="Hyperlink"/>
            <w:rFonts w:ascii="Times New Roman" w:hAnsi="Times New Roman"/>
          </w:rPr>
          <w:t>2019 Op. Att'y. Gen. No. 2019-026</w:t>
        </w:r>
      </w:hyperlink>
    </w:p>
  </w:footnote>
  <w:footnote w:id="23">
    <w:p w14:paraId="62F446D1" w14:textId="52B9CB32" w:rsidR="006C6DDE" w:rsidRPr="00382F25" w:rsidRDefault="006C6DDE"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are made electronically to the Ohio Treasurer of State through the Reparations Rotary. A </w:t>
      </w:r>
      <w:hyperlink r:id="rId2" w:history="1">
        <w:r w:rsidRPr="00382F25">
          <w:rPr>
            <w:rStyle w:val="Hyperlink"/>
            <w:rFonts w:ascii="Times New Roman" w:hAnsi="Times New Roman"/>
            <w:u w:val="none"/>
          </w:rPr>
          <w:t>report</w:t>
        </w:r>
      </w:hyperlink>
      <w:r w:rsidRPr="00382F25">
        <w:rPr>
          <w:rFonts w:ascii="Times New Roman" w:hAnsi="Times New Roman"/>
        </w:rPr>
        <w:t xml:space="preserve"> is available on the AOS Intranet showing which entities made payments.</w:t>
      </w:r>
    </w:p>
    <w:p w14:paraId="504D99EA" w14:textId="77777777" w:rsidR="006C6DDE" w:rsidRPr="00382F25" w:rsidRDefault="006C6DDE" w:rsidP="00A75909">
      <w:pPr>
        <w:pStyle w:val="FootnoteText"/>
        <w:rPr>
          <w:rFonts w:ascii="Times New Roman" w:hAnsi="Times New Roman"/>
        </w:rPr>
      </w:pPr>
    </w:p>
  </w:footnote>
  <w:footnote w:id="24">
    <w:p w14:paraId="4C16859E" w14:textId="198570FE" w:rsidR="006C6DDE" w:rsidRPr="00382F25" w:rsidRDefault="006C6DDE"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Style w:val="FootnoteReference"/>
          <w:rFonts w:ascii="Times New Roman" w:hAnsi="Times New Roman"/>
        </w:rPr>
        <w:t xml:space="preserve"> </w:t>
      </w:r>
      <w:r w:rsidRPr="00382F25">
        <w:rPr>
          <w:rFonts w:ascii="Times New Roman" w:hAnsi="Times New Roman"/>
        </w:rPr>
        <w:t>These proceeds should be recorded in a LET fund when received from the clerk.</w:t>
      </w:r>
    </w:p>
    <w:p w14:paraId="2F4C8B81" w14:textId="77777777" w:rsidR="006C6DDE" w:rsidRPr="008B59F5" w:rsidRDefault="006C6DDE" w:rsidP="006B3428">
      <w:pPr>
        <w:pStyle w:val="FootnoteText"/>
        <w:jc w:val="both"/>
        <w:rPr>
          <w:rFonts w:ascii="Times New Roman" w:hAnsi="Times New Roman"/>
        </w:rPr>
      </w:pPr>
    </w:p>
  </w:footnote>
  <w:footnote w:id="25">
    <w:p w14:paraId="67AF2B21" w14:textId="4FF6FB44" w:rsidR="006C6DDE" w:rsidRPr="00147AC4" w:rsidRDefault="006C6DDE" w:rsidP="007938CC">
      <w:pPr>
        <w:pStyle w:val="FootnoteText"/>
        <w:jc w:val="both"/>
        <w:rPr>
          <w:rFonts w:ascii="Times New Roman" w:hAnsi="Times New Roman"/>
          <w:sz w:val="22"/>
          <w:szCs w:val="22"/>
        </w:rPr>
      </w:pPr>
      <w:r w:rsidRPr="008B59F5">
        <w:rPr>
          <w:rStyle w:val="FootnoteReference"/>
          <w:rFonts w:ascii="Times New Roman" w:hAnsi="Times New Roman"/>
        </w:rPr>
        <w:footnoteRef/>
      </w:r>
      <w:r w:rsidRPr="008B59F5">
        <w:rPr>
          <w:rFonts w:ascii="Times New Roman" w:hAnsi="Times New Roman"/>
        </w:rPr>
        <w:t xml:space="preserve"> Ohio </w:t>
      </w:r>
      <w:r>
        <w:rPr>
          <w:rFonts w:ascii="Times New Roman" w:hAnsi="Times New Roman"/>
        </w:rPr>
        <w:t>2017 Op. Att’y.</w:t>
      </w:r>
      <w:r w:rsidRPr="008B59F5">
        <w:rPr>
          <w:rFonts w:ascii="Times New Roman" w:hAnsi="Times New Roman"/>
        </w:rPr>
        <w:t xml:space="preserve"> Gen</w:t>
      </w:r>
      <w:r>
        <w:rPr>
          <w:rFonts w:ascii="Times New Roman" w:hAnsi="Times New Roman"/>
        </w:rPr>
        <w:t xml:space="preserve">. </w:t>
      </w:r>
      <w:r w:rsidRPr="008B59F5">
        <w:rPr>
          <w:rFonts w:ascii="Times New Roman" w:hAnsi="Times New Roman"/>
        </w:rPr>
        <w:t xml:space="preserve">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w:t>
      </w:r>
      <w:r w:rsidRPr="004D588D">
        <w:rPr>
          <w:rFonts w:ascii="Times New Roman" w:hAnsi="Times New Roman"/>
          <w:sz w:val="22"/>
          <w:szCs w:val="22"/>
        </w:rPr>
        <w:t>§</w:t>
      </w:r>
      <w:r>
        <w:rPr>
          <w:rFonts w:ascii="Times New Roman" w:hAnsi="Times New Roman"/>
          <w:sz w:val="22"/>
          <w:szCs w:val="22"/>
        </w:rPr>
        <w:t xml:space="preserve"> </w:t>
      </w:r>
      <w:r w:rsidRPr="008B59F5">
        <w:rPr>
          <w:rFonts w:ascii="Times New Roman" w:hAnsi="Times New Roman"/>
        </w:rPr>
        <w:t>307.12 when disposing of property and this section does not provide for the gifting/donating of property to a private individual.</w:t>
      </w:r>
    </w:p>
  </w:footnote>
  <w:footnote w:id="26">
    <w:p w14:paraId="4CD11E9D" w14:textId="057A9FAF" w:rsidR="006C6DDE" w:rsidRPr="00BB1F97" w:rsidRDefault="006C6DDE"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(see Catalog of Federal Domestic Assistance (</w:t>
      </w:r>
      <w:r w:rsidRPr="00EC530F">
        <w:rPr>
          <w:rFonts w:ascii="Times New Roman" w:hAnsi="Times New Roman"/>
          <w:u w:val="double"/>
        </w:rPr>
        <w:t>CFDA</w:t>
      </w:r>
      <w:r w:rsidRPr="00EC530F">
        <w:rPr>
          <w:rFonts w:ascii="Times New Roman" w:hAnsi="Times New Roman"/>
          <w:u w:val="double"/>
          <w:vertAlign w:val="superscript"/>
        </w:rPr>
        <w:fldChar w:fldCharType="begin"/>
      </w:r>
      <w:r w:rsidRPr="00EC530F">
        <w:rPr>
          <w:rFonts w:ascii="Times New Roman" w:hAnsi="Times New Roman"/>
          <w:u w:val="double"/>
          <w:vertAlign w:val="superscript"/>
        </w:rPr>
        <w:instrText xml:space="preserve"> NOTEREF _Ref52977424 \h </w:instrText>
      </w:r>
      <w:r>
        <w:rPr>
          <w:rFonts w:ascii="Times New Roman" w:hAnsi="Times New Roman"/>
          <w:u w:val="double"/>
          <w:vertAlign w:val="superscript"/>
        </w:rPr>
        <w:instrText xml:space="preserve"> \* MERGEFORMAT </w:instrText>
      </w:r>
      <w:r w:rsidRPr="00EC530F">
        <w:rPr>
          <w:rFonts w:ascii="Times New Roman" w:hAnsi="Times New Roman"/>
          <w:u w:val="double"/>
          <w:vertAlign w:val="superscript"/>
        </w:rPr>
      </w:r>
      <w:r w:rsidRPr="00EC530F">
        <w:rPr>
          <w:rFonts w:ascii="Times New Roman" w:hAnsi="Times New Roman"/>
          <w:u w:val="double"/>
          <w:vertAlign w:val="superscript"/>
        </w:rPr>
        <w:fldChar w:fldCharType="separate"/>
      </w:r>
      <w:r>
        <w:rPr>
          <w:rFonts w:ascii="Times New Roman" w:hAnsi="Times New Roman"/>
          <w:u w:val="double"/>
          <w:vertAlign w:val="superscript"/>
        </w:rPr>
        <w:t>27</w:t>
      </w:r>
      <w:r w:rsidRPr="00EC530F">
        <w:rPr>
          <w:rFonts w:ascii="Times New Roman" w:hAnsi="Times New Roman"/>
          <w:u w:val="double"/>
          <w:vertAlign w:val="superscript"/>
        </w:rPr>
        <w:fldChar w:fldCharType="end"/>
      </w:r>
      <w:r w:rsidRPr="00BB1F97">
        <w:rPr>
          <w:rFonts w:ascii="Times New Roman" w:hAnsi="Times New Roman"/>
        </w:rPr>
        <w:t>) # 16.922 and/or 21.016)</w:t>
      </w:r>
    </w:p>
  </w:footnote>
  <w:footnote w:id="27">
    <w:p w14:paraId="0F2365FA" w14:textId="6A810A7E" w:rsidR="006C6DDE" w:rsidRPr="00D737EF" w:rsidRDefault="006C6DDE" w:rsidP="00D737EF">
      <w:pPr>
        <w:pStyle w:val="FootnoteText"/>
        <w:jc w:val="both"/>
        <w:rPr>
          <w:rFonts w:ascii="Times New Roman" w:hAnsi="Times New Roman"/>
          <w:u w:val="double"/>
        </w:rPr>
      </w:pPr>
      <w:r w:rsidRPr="00D737EF">
        <w:rPr>
          <w:rStyle w:val="FootnoteReference"/>
          <w:rFonts w:ascii="Times New Roman" w:hAnsi="Times New Roman"/>
          <w:u w:val="double"/>
        </w:rPr>
        <w:footnoteRef/>
      </w:r>
      <w:r w:rsidRPr="00D737EF">
        <w:rPr>
          <w:rFonts w:ascii="Times New Roman" w:hAnsi="Times New Roman"/>
          <w:u w:val="double"/>
        </w:rPr>
        <w:t xml:space="preserve"> Effective for federal awards made after November 12, 2020, the terms “Catalog for Federal Domestic Assistance (</w:t>
      </w:r>
      <w:proofErr w:type="spellStart"/>
      <w:r w:rsidRPr="00D737EF">
        <w:rPr>
          <w:rFonts w:ascii="Times New Roman" w:hAnsi="Times New Roman"/>
          <w:u w:val="double"/>
        </w:rPr>
        <w:t>CFDA</w:t>
      </w:r>
      <w:proofErr w:type="spellEnd"/>
      <w:r w:rsidRPr="00D737EF">
        <w:rPr>
          <w:rFonts w:ascii="Times New Roman" w:hAnsi="Times New Roman"/>
          <w:u w:val="double"/>
        </w:rPr>
        <w:t>) number” and “</w:t>
      </w:r>
      <w:proofErr w:type="spellStart"/>
      <w:r w:rsidRPr="00D737EF">
        <w:rPr>
          <w:rFonts w:ascii="Times New Roman" w:hAnsi="Times New Roman"/>
          <w:u w:val="double"/>
        </w:rPr>
        <w:t>CFDA</w:t>
      </w:r>
      <w:proofErr w:type="spellEnd"/>
      <w:r w:rsidRPr="00D737EF">
        <w:rPr>
          <w:rFonts w:ascii="Times New Roman" w:hAnsi="Times New Roman"/>
          <w:u w:val="double"/>
        </w:rPr>
        <w:t xml:space="preserve"> program title” have been changed to the terms “Assistance Listings number” and “Assistance Listings program title”.  Auditors may see either term being used interchangeably for a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90B" w14:textId="0B741FA9"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6C6DDE" w:rsidRDefault="006C6D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B652" w14:textId="51B231F4"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6C6DDE" w:rsidRDefault="006C6D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2761" w14:textId="70996B43"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6C6DDE" w:rsidRDefault="006C6D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2EE" w14:textId="467D9866"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6C6DDE" w:rsidRDefault="006C6D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93E3C" w14:textId="546069A5"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E58B1F" w14:textId="2CA87164"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2216D98A" w14:textId="77777777" w:rsidR="006C6DDE" w:rsidRDefault="006C6D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66A4" w14:textId="6FEF7704"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54A3C972"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52FBABDB" w14:textId="77777777" w:rsidR="006C6DDE" w:rsidRDefault="006C6D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8680" w14:textId="5E4A4413"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6C6DDE" w:rsidRDefault="006C6D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AF28" w14:textId="78DD1FF3"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6C6DDE" w:rsidRDefault="006C6D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9B5" w14:textId="616887F4"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6C6DDE" w:rsidRDefault="006C6DD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65F5" w14:textId="71F662C0"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F4EA1D9"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55254277" w14:textId="77777777" w:rsidR="006C6DDE" w:rsidRDefault="006C6DD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C3E9" w14:textId="34620ED3"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5A1AD05D"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42947144" w14:textId="77777777" w:rsidR="006C6DDE" w:rsidRDefault="006C6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A9F3" w14:textId="6F2DBA0C"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6C6DDE" w:rsidRDefault="006C6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B9F5" w14:textId="256EB91D"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6C6DDE" w:rsidRDefault="006C6D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29A" w14:textId="3600A419"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6C6DDE" w:rsidRDefault="006C6D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AF3FC" w14:textId="3D92B9FA"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6C6DDE" w:rsidRDefault="006C6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F394" w14:textId="2D3ECF11"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6C6DDE" w:rsidRDefault="006C6D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BC56" w14:textId="4E2FCBA9"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378F5AC" w14:textId="15F25A1A" w:rsidR="006C6DDE" w:rsidRPr="00723519" w:rsidRDefault="006C6DDE" w:rsidP="00723519">
    <w:pPr>
      <w:pStyle w:val="Header"/>
      <w:jc w:val="right"/>
      <w:rPr>
        <w:rFonts w:ascii="Times New Roman" w:hAnsi="Times New Roman"/>
        <w:b/>
        <w:i/>
      </w:rPr>
    </w:pPr>
    <w:r>
      <w:rPr>
        <w:rFonts w:ascii="Times New Roman" w:hAnsi="Times New Roman"/>
        <w:b/>
        <w:i/>
      </w:rPr>
      <w:t>Section 3-6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0DC1" w14:textId="2D7B429D"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4EDDB344"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3-7</w:t>
    </w:r>
  </w:p>
  <w:p w14:paraId="7778C83D" w14:textId="77777777" w:rsidR="006C6DDE" w:rsidRDefault="006C6D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D0FC" w14:textId="3D80B890" w:rsidR="006C6DDE" w:rsidRPr="00B84076" w:rsidRDefault="006C6DDE"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6C6DDE" w:rsidRPr="007447D5" w:rsidRDefault="006C6DDE"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6C6DDE" w:rsidRDefault="006C6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7317"/>
    <w:multiLevelType w:val="hybridMultilevel"/>
    <w:tmpl w:val="267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5C43"/>
    <w:multiLevelType w:val="hybridMultilevel"/>
    <w:tmpl w:val="9D2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E5F27"/>
    <w:multiLevelType w:val="hybridMultilevel"/>
    <w:tmpl w:val="25EC3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923B8D"/>
    <w:multiLevelType w:val="hybridMultilevel"/>
    <w:tmpl w:val="8474BE3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171414FB"/>
    <w:multiLevelType w:val="hybridMultilevel"/>
    <w:tmpl w:val="0AE8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7FFC"/>
    <w:multiLevelType w:val="hybridMultilevel"/>
    <w:tmpl w:val="9618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12D7D"/>
    <w:multiLevelType w:val="hybridMultilevel"/>
    <w:tmpl w:val="7E00346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D3F5F"/>
    <w:multiLevelType w:val="hybridMultilevel"/>
    <w:tmpl w:val="A9F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51742"/>
    <w:multiLevelType w:val="hybridMultilevel"/>
    <w:tmpl w:val="63007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55A60"/>
    <w:multiLevelType w:val="hybridMultilevel"/>
    <w:tmpl w:val="A0DC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43500"/>
    <w:multiLevelType w:val="hybridMultilevel"/>
    <w:tmpl w:val="EDB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C7EAE"/>
    <w:multiLevelType w:val="hybridMultilevel"/>
    <w:tmpl w:val="31EA4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F52BF1"/>
    <w:multiLevelType w:val="hybridMultilevel"/>
    <w:tmpl w:val="F21C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2570FB"/>
    <w:multiLevelType w:val="hybridMultilevel"/>
    <w:tmpl w:val="D8EA4B40"/>
    <w:lvl w:ilvl="0" w:tplc="2DBCD4E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E06BC"/>
    <w:multiLevelType w:val="hybridMultilevel"/>
    <w:tmpl w:val="F7BC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272FAB"/>
    <w:multiLevelType w:val="hybridMultilevel"/>
    <w:tmpl w:val="C08C30C2"/>
    <w:lvl w:ilvl="0" w:tplc="D20487DA">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54383CE0"/>
    <w:multiLevelType w:val="hybridMultilevel"/>
    <w:tmpl w:val="3DC0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723C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7D4D6D"/>
    <w:multiLevelType w:val="hybridMultilevel"/>
    <w:tmpl w:val="435ECE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5C0442EB"/>
    <w:multiLevelType w:val="hybridMultilevel"/>
    <w:tmpl w:val="EDF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4A55730"/>
    <w:multiLevelType w:val="hybridMultilevel"/>
    <w:tmpl w:val="121E6D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D32D33"/>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E07E9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687469D6"/>
    <w:multiLevelType w:val="hybridMultilevel"/>
    <w:tmpl w:val="0B88B9FC"/>
    <w:lvl w:ilvl="0" w:tplc="B544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FD3C69"/>
    <w:multiLevelType w:val="hybridMultilevel"/>
    <w:tmpl w:val="975E6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F601FE"/>
    <w:multiLevelType w:val="hybridMultilevel"/>
    <w:tmpl w:val="381E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3A426D"/>
    <w:multiLevelType w:val="hybridMultilevel"/>
    <w:tmpl w:val="33D24C72"/>
    <w:lvl w:ilvl="0" w:tplc="439407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37"/>
  </w:num>
  <w:num w:numId="4">
    <w:abstractNumId w:val="35"/>
  </w:num>
  <w:num w:numId="5">
    <w:abstractNumId w:val="56"/>
  </w:num>
  <w:num w:numId="6">
    <w:abstractNumId w:val="60"/>
  </w:num>
  <w:num w:numId="7">
    <w:abstractNumId w:val="49"/>
  </w:num>
  <w:num w:numId="8">
    <w:abstractNumId w:val="29"/>
  </w:num>
  <w:num w:numId="9">
    <w:abstractNumId w:val="38"/>
  </w:num>
  <w:num w:numId="10">
    <w:abstractNumId w:val="36"/>
  </w:num>
  <w:num w:numId="11">
    <w:abstractNumId w:val="47"/>
  </w:num>
  <w:num w:numId="12">
    <w:abstractNumId w:val="20"/>
  </w:num>
  <w:num w:numId="13">
    <w:abstractNumId w:val="65"/>
  </w:num>
  <w:num w:numId="14">
    <w:abstractNumId w:val="24"/>
  </w:num>
  <w:num w:numId="15">
    <w:abstractNumId w:val="32"/>
  </w:num>
  <w:num w:numId="16">
    <w:abstractNumId w:val="3"/>
  </w:num>
  <w:num w:numId="17">
    <w:abstractNumId w:val="30"/>
  </w:num>
  <w:num w:numId="18">
    <w:abstractNumId w:val="31"/>
  </w:num>
  <w:num w:numId="19">
    <w:abstractNumId w:val="61"/>
  </w:num>
  <w:num w:numId="20">
    <w:abstractNumId w:val="40"/>
  </w:num>
  <w:num w:numId="21">
    <w:abstractNumId w:val="57"/>
  </w:num>
  <w:num w:numId="22">
    <w:abstractNumId w:val="54"/>
  </w:num>
  <w:num w:numId="23">
    <w:abstractNumId w:val="17"/>
  </w:num>
  <w:num w:numId="24">
    <w:abstractNumId w:val="48"/>
  </w:num>
  <w:num w:numId="25">
    <w:abstractNumId w:val="51"/>
  </w:num>
  <w:num w:numId="26">
    <w:abstractNumId w:val="62"/>
  </w:num>
  <w:num w:numId="27">
    <w:abstractNumId w:val="34"/>
  </w:num>
  <w:num w:numId="28">
    <w:abstractNumId w:val="7"/>
  </w:num>
  <w:num w:numId="29">
    <w:abstractNumId w:val="52"/>
  </w:num>
  <w:num w:numId="30">
    <w:abstractNumId w:val="25"/>
  </w:num>
  <w:num w:numId="31">
    <w:abstractNumId w:val="6"/>
  </w:num>
  <w:num w:numId="32">
    <w:abstractNumId w:val="42"/>
  </w:num>
  <w:num w:numId="33">
    <w:abstractNumId w:val="63"/>
  </w:num>
  <w:num w:numId="34">
    <w:abstractNumId w:val="18"/>
  </w:num>
  <w:num w:numId="35">
    <w:abstractNumId w:val="22"/>
  </w:num>
  <w:num w:numId="36">
    <w:abstractNumId w:val="14"/>
  </w:num>
  <w:num w:numId="37">
    <w:abstractNumId w:val="11"/>
  </w:num>
  <w:num w:numId="38">
    <w:abstractNumId w:val="46"/>
  </w:num>
  <w:num w:numId="39">
    <w:abstractNumId w:val="50"/>
  </w:num>
  <w:num w:numId="40">
    <w:abstractNumId w:val="15"/>
  </w:num>
  <w:num w:numId="41">
    <w:abstractNumId w:val="1"/>
  </w:num>
  <w:num w:numId="42">
    <w:abstractNumId w:val="8"/>
  </w:num>
  <w:num w:numId="43">
    <w:abstractNumId w:val="13"/>
  </w:num>
  <w:num w:numId="44">
    <w:abstractNumId w:val="9"/>
  </w:num>
  <w:num w:numId="45">
    <w:abstractNumId w:val="2"/>
  </w:num>
  <w:num w:numId="46">
    <w:abstractNumId w:val="39"/>
  </w:num>
  <w:num w:numId="47">
    <w:abstractNumId w:val="58"/>
  </w:num>
  <w:num w:numId="48">
    <w:abstractNumId w:val="33"/>
  </w:num>
  <w:num w:numId="49">
    <w:abstractNumId w:val="43"/>
  </w:num>
  <w:num w:numId="50">
    <w:abstractNumId w:val="27"/>
  </w:num>
  <w:num w:numId="51">
    <w:abstractNumId w:val="23"/>
  </w:num>
  <w:num w:numId="52">
    <w:abstractNumId w:val="12"/>
  </w:num>
  <w:num w:numId="53">
    <w:abstractNumId w:val="44"/>
  </w:num>
  <w:num w:numId="54">
    <w:abstractNumId w:val="10"/>
  </w:num>
  <w:num w:numId="55">
    <w:abstractNumId w:val="53"/>
  </w:num>
  <w:num w:numId="56">
    <w:abstractNumId w:val="19"/>
  </w:num>
  <w:num w:numId="57">
    <w:abstractNumId w:val="45"/>
  </w:num>
  <w:num w:numId="58">
    <w:abstractNumId w:val="21"/>
  </w:num>
  <w:num w:numId="59">
    <w:abstractNumId w:val="0"/>
  </w:num>
  <w:num w:numId="60">
    <w:abstractNumId w:val="55"/>
  </w:num>
  <w:num w:numId="61">
    <w:abstractNumId w:val="26"/>
  </w:num>
  <w:num w:numId="62">
    <w:abstractNumId w:val="16"/>
  </w:num>
  <w:num w:numId="63">
    <w:abstractNumId w:val="4"/>
  </w:num>
  <w:num w:numId="64">
    <w:abstractNumId w:val="59"/>
  </w:num>
  <w:num w:numId="65">
    <w:abstractNumId w:val="64"/>
  </w:num>
  <w:num w:numId="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24ED"/>
    <w:rsid w:val="0000386D"/>
    <w:rsid w:val="00005EDA"/>
    <w:rsid w:val="00006662"/>
    <w:rsid w:val="00011B09"/>
    <w:rsid w:val="00011B59"/>
    <w:rsid w:val="0001378D"/>
    <w:rsid w:val="00013F1A"/>
    <w:rsid w:val="00014E05"/>
    <w:rsid w:val="000167F1"/>
    <w:rsid w:val="0001792D"/>
    <w:rsid w:val="00031A17"/>
    <w:rsid w:val="00034457"/>
    <w:rsid w:val="00035AAD"/>
    <w:rsid w:val="00040780"/>
    <w:rsid w:val="00040FF3"/>
    <w:rsid w:val="000446FC"/>
    <w:rsid w:val="00045454"/>
    <w:rsid w:val="00045E59"/>
    <w:rsid w:val="000475C1"/>
    <w:rsid w:val="00050D37"/>
    <w:rsid w:val="00053BF9"/>
    <w:rsid w:val="000556E6"/>
    <w:rsid w:val="000559CC"/>
    <w:rsid w:val="00057CCA"/>
    <w:rsid w:val="000604FC"/>
    <w:rsid w:val="00061F38"/>
    <w:rsid w:val="000630B0"/>
    <w:rsid w:val="00071CAD"/>
    <w:rsid w:val="00072AAF"/>
    <w:rsid w:val="000741C6"/>
    <w:rsid w:val="000853C8"/>
    <w:rsid w:val="000935ED"/>
    <w:rsid w:val="0009423D"/>
    <w:rsid w:val="000973CD"/>
    <w:rsid w:val="0009742F"/>
    <w:rsid w:val="000A1EB4"/>
    <w:rsid w:val="000A282C"/>
    <w:rsid w:val="000A3C3A"/>
    <w:rsid w:val="000A4A65"/>
    <w:rsid w:val="000A7221"/>
    <w:rsid w:val="000A7B75"/>
    <w:rsid w:val="000B1ED4"/>
    <w:rsid w:val="000B2C8A"/>
    <w:rsid w:val="000B4071"/>
    <w:rsid w:val="000B5F97"/>
    <w:rsid w:val="000C6E37"/>
    <w:rsid w:val="000C70A1"/>
    <w:rsid w:val="000C7BD7"/>
    <w:rsid w:val="000D05E8"/>
    <w:rsid w:val="000D2878"/>
    <w:rsid w:val="000D3D23"/>
    <w:rsid w:val="000D649A"/>
    <w:rsid w:val="000D6CDB"/>
    <w:rsid w:val="000D7679"/>
    <w:rsid w:val="000E0522"/>
    <w:rsid w:val="000E2092"/>
    <w:rsid w:val="000F660F"/>
    <w:rsid w:val="000F6ABA"/>
    <w:rsid w:val="000F7AC7"/>
    <w:rsid w:val="00100D31"/>
    <w:rsid w:val="00101380"/>
    <w:rsid w:val="00104B06"/>
    <w:rsid w:val="001071DE"/>
    <w:rsid w:val="001079C8"/>
    <w:rsid w:val="00113711"/>
    <w:rsid w:val="00113F26"/>
    <w:rsid w:val="00117932"/>
    <w:rsid w:val="0012252F"/>
    <w:rsid w:val="00123F2B"/>
    <w:rsid w:val="00125132"/>
    <w:rsid w:val="0012518A"/>
    <w:rsid w:val="00125C50"/>
    <w:rsid w:val="00127427"/>
    <w:rsid w:val="00131ADA"/>
    <w:rsid w:val="00131B8D"/>
    <w:rsid w:val="00134CE7"/>
    <w:rsid w:val="00144436"/>
    <w:rsid w:val="00145132"/>
    <w:rsid w:val="00145AD3"/>
    <w:rsid w:val="00147AC4"/>
    <w:rsid w:val="00150B50"/>
    <w:rsid w:val="0015222F"/>
    <w:rsid w:val="00154C41"/>
    <w:rsid w:val="00155020"/>
    <w:rsid w:val="0015754C"/>
    <w:rsid w:val="00161ED7"/>
    <w:rsid w:val="001634FF"/>
    <w:rsid w:val="0016417F"/>
    <w:rsid w:val="00165565"/>
    <w:rsid w:val="0016572D"/>
    <w:rsid w:val="00170863"/>
    <w:rsid w:val="00170F37"/>
    <w:rsid w:val="00173A6B"/>
    <w:rsid w:val="001763A0"/>
    <w:rsid w:val="00182659"/>
    <w:rsid w:val="00185386"/>
    <w:rsid w:val="001932BB"/>
    <w:rsid w:val="00193E2E"/>
    <w:rsid w:val="001A05A8"/>
    <w:rsid w:val="001A1614"/>
    <w:rsid w:val="001A27A1"/>
    <w:rsid w:val="001B1503"/>
    <w:rsid w:val="001B3D27"/>
    <w:rsid w:val="001B549D"/>
    <w:rsid w:val="001C34DF"/>
    <w:rsid w:val="001C373C"/>
    <w:rsid w:val="001D0B5D"/>
    <w:rsid w:val="001D2779"/>
    <w:rsid w:val="001D403C"/>
    <w:rsid w:val="001D413C"/>
    <w:rsid w:val="001D4E45"/>
    <w:rsid w:val="001D788E"/>
    <w:rsid w:val="001E117F"/>
    <w:rsid w:val="001E24D2"/>
    <w:rsid w:val="001E297C"/>
    <w:rsid w:val="001E3358"/>
    <w:rsid w:val="001E6467"/>
    <w:rsid w:val="001F0911"/>
    <w:rsid w:val="001F1DE9"/>
    <w:rsid w:val="001F345B"/>
    <w:rsid w:val="001F363F"/>
    <w:rsid w:val="001F5F34"/>
    <w:rsid w:val="00203554"/>
    <w:rsid w:val="002038A2"/>
    <w:rsid w:val="002059C6"/>
    <w:rsid w:val="00206D34"/>
    <w:rsid w:val="00207CA6"/>
    <w:rsid w:val="00210704"/>
    <w:rsid w:val="00212221"/>
    <w:rsid w:val="0021646B"/>
    <w:rsid w:val="002167B0"/>
    <w:rsid w:val="0022129F"/>
    <w:rsid w:val="002250FA"/>
    <w:rsid w:val="00227D2E"/>
    <w:rsid w:val="00230E3E"/>
    <w:rsid w:val="00231EA4"/>
    <w:rsid w:val="002326DE"/>
    <w:rsid w:val="0023550B"/>
    <w:rsid w:val="002372D9"/>
    <w:rsid w:val="00240643"/>
    <w:rsid w:val="00240671"/>
    <w:rsid w:val="00241469"/>
    <w:rsid w:val="0024159F"/>
    <w:rsid w:val="00244F7D"/>
    <w:rsid w:val="0024520E"/>
    <w:rsid w:val="00250BB6"/>
    <w:rsid w:val="00252155"/>
    <w:rsid w:val="002536F7"/>
    <w:rsid w:val="00253941"/>
    <w:rsid w:val="00254BED"/>
    <w:rsid w:val="002601CE"/>
    <w:rsid w:val="0026039B"/>
    <w:rsid w:val="00263BE4"/>
    <w:rsid w:val="00264E0A"/>
    <w:rsid w:val="00273DB9"/>
    <w:rsid w:val="00274C3D"/>
    <w:rsid w:val="00276558"/>
    <w:rsid w:val="0028137E"/>
    <w:rsid w:val="002842F1"/>
    <w:rsid w:val="00290A8B"/>
    <w:rsid w:val="00294382"/>
    <w:rsid w:val="002A31F4"/>
    <w:rsid w:val="002A4DDB"/>
    <w:rsid w:val="002A5A46"/>
    <w:rsid w:val="002A6863"/>
    <w:rsid w:val="002B11C5"/>
    <w:rsid w:val="002B3DE4"/>
    <w:rsid w:val="002B4ACE"/>
    <w:rsid w:val="002B7442"/>
    <w:rsid w:val="002C118F"/>
    <w:rsid w:val="002C5756"/>
    <w:rsid w:val="002C62EB"/>
    <w:rsid w:val="002D0EDA"/>
    <w:rsid w:val="002D7C62"/>
    <w:rsid w:val="002D7F10"/>
    <w:rsid w:val="002E4B88"/>
    <w:rsid w:val="002E7367"/>
    <w:rsid w:val="002F4C4B"/>
    <w:rsid w:val="002F4E6D"/>
    <w:rsid w:val="00301452"/>
    <w:rsid w:val="00305120"/>
    <w:rsid w:val="00315CE3"/>
    <w:rsid w:val="0032227B"/>
    <w:rsid w:val="00324CF4"/>
    <w:rsid w:val="0033508B"/>
    <w:rsid w:val="00336C64"/>
    <w:rsid w:val="00337DEC"/>
    <w:rsid w:val="00340BEA"/>
    <w:rsid w:val="00341B9A"/>
    <w:rsid w:val="00342D41"/>
    <w:rsid w:val="00344A88"/>
    <w:rsid w:val="0034577A"/>
    <w:rsid w:val="00352D99"/>
    <w:rsid w:val="00356C51"/>
    <w:rsid w:val="00371BDF"/>
    <w:rsid w:val="00373E33"/>
    <w:rsid w:val="00375FE8"/>
    <w:rsid w:val="00376A3A"/>
    <w:rsid w:val="00382F25"/>
    <w:rsid w:val="00384864"/>
    <w:rsid w:val="00385FA5"/>
    <w:rsid w:val="00387B31"/>
    <w:rsid w:val="003955F8"/>
    <w:rsid w:val="003966BF"/>
    <w:rsid w:val="003A1D59"/>
    <w:rsid w:val="003A20E3"/>
    <w:rsid w:val="003A2C51"/>
    <w:rsid w:val="003A4935"/>
    <w:rsid w:val="003B0088"/>
    <w:rsid w:val="003B1CDD"/>
    <w:rsid w:val="003B212D"/>
    <w:rsid w:val="003B232F"/>
    <w:rsid w:val="003B649D"/>
    <w:rsid w:val="003B77CB"/>
    <w:rsid w:val="003B7D41"/>
    <w:rsid w:val="003C1F7E"/>
    <w:rsid w:val="003C64E9"/>
    <w:rsid w:val="003C72B4"/>
    <w:rsid w:val="003C7B34"/>
    <w:rsid w:val="003D046B"/>
    <w:rsid w:val="003D77C2"/>
    <w:rsid w:val="003E0806"/>
    <w:rsid w:val="003E2F15"/>
    <w:rsid w:val="003E4373"/>
    <w:rsid w:val="003E5ED3"/>
    <w:rsid w:val="003E7B4B"/>
    <w:rsid w:val="003F012C"/>
    <w:rsid w:val="003F0FC4"/>
    <w:rsid w:val="003F1415"/>
    <w:rsid w:val="003F2712"/>
    <w:rsid w:val="003F3965"/>
    <w:rsid w:val="003F6B74"/>
    <w:rsid w:val="0040628C"/>
    <w:rsid w:val="00406551"/>
    <w:rsid w:val="00407BA4"/>
    <w:rsid w:val="00415CC5"/>
    <w:rsid w:val="00415DC3"/>
    <w:rsid w:val="00417A60"/>
    <w:rsid w:val="00417FF3"/>
    <w:rsid w:val="00422EDC"/>
    <w:rsid w:val="00424348"/>
    <w:rsid w:val="00431288"/>
    <w:rsid w:val="0043258F"/>
    <w:rsid w:val="00432EF2"/>
    <w:rsid w:val="00432EFE"/>
    <w:rsid w:val="00433DD9"/>
    <w:rsid w:val="00435CF9"/>
    <w:rsid w:val="00436081"/>
    <w:rsid w:val="004420B0"/>
    <w:rsid w:val="004522D6"/>
    <w:rsid w:val="00454F7A"/>
    <w:rsid w:val="004567CE"/>
    <w:rsid w:val="0045708A"/>
    <w:rsid w:val="004600FC"/>
    <w:rsid w:val="004610C6"/>
    <w:rsid w:val="00466DB8"/>
    <w:rsid w:val="004674AE"/>
    <w:rsid w:val="00470149"/>
    <w:rsid w:val="004816BB"/>
    <w:rsid w:val="00481E3D"/>
    <w:rsid w:val="004845BC"/>
    <w:rsid w:val="0048532D"/>
    <w:rsid w:val="00491EF2"/>
    <w:rsid w:val="00494714"/>
    <w:rsid w:val="00495DF1"/>
    <w:rsid w:val="004A2582"/>
    <w:rsid w:val="004A30AC"/>
    <w:rsid w:val="004A34A2"/>
    <w:rsid w:val="004A5316"/>
    <w:rsid w:val="004A64AC"/>
    <w:rsid w:val="004B123C"/>
    <w:rsid w:val="004B2FBF"/>
    <w:rsid w:val="004B525E"/>
    <w:rsid w:val="004B569F"/>
    <w:rsid w:val="004B6329"/>
    <w:rsid w:val="004B68D2"/>
    <w:rsid w:val="004C023A"/>
    <w:rsid w:val="004C22AA"/>
    <w:rsid w:val="004C614B"/>
    <w:rsid w:val="004D082E"/>
    <w:rsid w:val="004D58D2"/>
    <w:rsid w:val="004D6BB8"/>
    <w:rsid w:val="004D7F47"/>
    <w:rsid w:val="004E6344"/>
    <w:rsid w:val="004E68CB"/>
    <w:rsid w:val="004F0F15"/>
    <w:rsid w:val="004F56AA"/>
    <w:rsid w:val="004F71A9"/>
    <w:rsid w:val="005014FE"/>
    <w:rsid w:val="005030CB"/>
    <w:rsid w:val="00503A14"/>
    <w:rsid w:val="005049F5"/>
    <w:rsid w:val="00505CE6"/>
    <w:rsid w:val="00505DFA"/>
    <w:rsid w:val="00505E29"/>
    <w:rsid w:val="00523FFF"/>
    <w:rsid w:val="005256B7"/>
    <w:rsid w:val="00525795"/>
    <w:rsid w:val="00531A5C"/>
    <w:rsid w:val="00533A5D"/>
    <w:rsid w:val="00537467"/>
    <w:rsid w:val="00540808"/>
    <w:rsid w:val="00542396"/>
    <w:rsid w:val="00544890"/>
    <w:rsid w:val="00550A07"/>
    <w:rsid w:val="005511B1"/>
    <w:rsid w:val="0055212D"/>
    <w:rsid w:val="00555887"/>
    <w:rsid w:val="00561426"/>
    <w:rsid w:val="00564E00"/>
    <w:rsid w:val="00566896"/>
    <w:rsid w:val="00566E18"/>
    <w:rsid w:val="00572813"/>
    <w:rsid w:val="00576AAF"/>
    <w:rsid w:val="005778C1"/>
    <w:rsid w:val="00580989"/>
    <w:rsid w:val="00585A31"/>
    <w:rsid w:val="00585CEA"/>
    <w:rsid w:val="0059171C"/>
    <w:rsid w:val="00594E02"/>
    <w:rsid w:val="00595673"/>
    <w:rsid w:val="005A0B63"/>
    <w:rsid w:val="005A5FAC"/>
    <w:rsid w:val="005B0249"/>
    <w:rsid w:val="005B2097"/>
    <w:rsid w:val="005B32DC"/>
    <w:rsid w:val="005B3D5F"/>
    <w:rsid w:val="005B5EE2"/>
    <w:rsid w:val="005B7E53"/>
    <w:rsid w:val="005C101D"/>
    <w:rsid w:val="005C117C"/>
    <w:rsid w:val="005C14D3"/>
    <w:rsid w:val="005C49D3"/>
    <w:rsid w:val="005C728C"/>
    <w:rsid w:val="005D0207"/>
    <w:rsid w:val="005D2826"/>
    <w:rsid w:val="005D2E16"/>
    <w:rsid w:val="005D2E2E"/>
    <w:rsid w:val="005D3225"/>
    <w:rsid w:val="005D5086"/>
    <w:rsid w:val="005D5F16"/>
    <w:rsid w:val="005D6541"/>
    <w:rsid w:val="005E1840"/>
    <w:rsid w:val="005E1865"/>
    <w:rsid w:val="005E465D"/>
    <w:rsid w:val="005F2E17"/>
    <w:rsid w:val="005F2FCC"/>
    <w:rsid w:val="005F393C"/>
    <w:rsid w:val="005F5939"/>
    <w:rsid w:val="005F7532"/>
    <w:rsid w:val="005F7C7D"/>
    <w:rsid w:val="006033EC"/>
    <w:rsid w:val="00604454"/>
    <w:rsid w:val="00607C1A"/>
    <w:rsid w:val="0061176C"/>
    <w:rsid w:val="00611FE2"/>
    <w:rsid w:val="00612D21"/>
    <w:rsid w:val="006139D2"/>
    <w:rsid w:val="006147E8"/>
    <w:rsid w:val="00622962"/>
    <w:rsid w:val="0062604F"/>
    <w:rsid w:val="00631974"/>
    <w:rsid w:val="006345FA"/>
    <w:rsid w:val="006362F4"/>
    <w:rsid w:val="0064003A"/>
    <w:rsid w:val="00640186"/>
    <w:rsid w:val="00640CEF"/>
    <w:rsid w:val="00645740"/>
    <w:rsid w:val="0065163D"/>
    <w:rsid w:val="00657259"/>
    <w:rsid w:val="006579AE"/>
    <w:rsid w:val="00662184"/>
    <w:rsid w:val="00670EFD"/>
    <w:rsid w:val="00680940"/>
    <w:rsid w:val="00681EE3"/>
    <w:rsid w:val="006829A2"/>
    <w:rsid w:val="0068513C"/>
    <w:rsid w:val="006910B9"/>
    <w:rsid w:val="00693950"/>
    <w:rsid w:val="00693CB8"/>
    <w:rsid w:val="00695BBF"/>
    <w:rsid w:val="0069749F"/>
    <w:rsid w:val="006A2F7C"/>
    <w:rsid w:val="006A452D"/>
    <w:rsid w:val="006A75D8"/>
    <w:rsid w:val="006A796F"/>
    <w:rsid w:val="006B2CE8"/>
    <w:rsid w:val="006B3428"/>
    <w:rsid w:val="006B3CF0"/>
    <w:rsid w:val="006B53F1"/>
    <w:rsid w:val="006C09CD"/>
    <w:rsid w:val="006C15D3"/>
    <w:rsid w:val="006C287E"/>
    <w:rsid w:val="006C3074"/>
    <w:rsid w:val="006C3E4E"/>
    <w:rsid w:val="006C6DDE"/>
    <w:rsid w:val="006D0AD1"/>
    <w:rsid w:val="006D2B08"/>
    <w:rsid w:val="006D5A37"/>
    <w:rsid w:val="006D5DED"/>
    <w:rsid w:val="006D7A41"/>
    <w:rsid w:val="006E21AC"/>
    <w:rsid w:val="006E4A5F"/>
    <w:rsid w:val="006E6023"/>
    <w:rsid w:val="006E7930"/>
    <w:rsid w:val="006F041A"/>
    <w:rsid w:val="006F051B"/>
    <w:rsid w:val="006F0984"/>
    <w:rsid w:val="006F2811"/>
    <w:rsid w:val="006F4F2B"/>
    <w:rsid w:val="00702ADF"/>
    <w:rsid w:val="00703D75"/>
    <w:rsid w:val="00706412"/>
    <w:rsid w:val="007068A3"/>
    <w:rsid w:val="00710309"/>
    <w:rsid w:val="00711F3D"/>
    <w:rsid w:val="007161C4"/>
    <w:rsid w:val="007202D2"/>
    <w:rsid w:val="00722E72"/>
    <w:rsid w:val="00723519"/>
    <w:rsid w:val="0072533C"/>
    <w:rsid w:val="00727BB3"/>
    <w:rsid w:val="007322BA"/>
    <w:rsid w:val="00732478"/>
    <w:rsid w:val="00733657"/>
    <w:rsid w:val="00734FCD"/>
    <w:rsid w:val="007447D5"/>
    <w:rsid w:val="00746EB2"/>
    <w:rsid w:val="007522A1"/>
    <w:rsid w:val="00754905"/>
    <w:rsid w:val="00757A71"/>
    <w:rsid w:val="007632F3"/>
    <w:rsid w:val="007658A2"/>
    <w:rsid w:val="00767CAD"/>
    <w:rsid w:val="007749C0"/>
    <w:rsid w:val="00775EFB"/>
    <w:rsid w:val="007818DF"/>
    <w:rsid w:val="00783B99"/>
    <w:rsid w:val="00784B62"/>
    <w:rsid w:val="00786FD1"/>
    <w:rsid w:val="00790BE6"/>
    <w:rsid w:val="00791BDB"/>
    <w:rsid w:val="007938CC"/>
    <w:rsid w:val="007A3BD8"/>
    <w:rsid w:val="007A7D7F"/>
    <w:rsid w:val="007B2CDC"/>
    <w:rsid w:val="007B30F4"/>
    <w:rsid w:val="007C1A13"/>
    <w:rsid w:val="007C4859"/>
    <w:rsid w:val="007C6216"/>
    <w:rsid w:val="007C6490"/>
    <w:rsid w:val="007D0274"/>
    <w:rsid w:val="007D5004"/>
    <w:rsid w:val="007D6A6C"/>
    <w:rsid w:val="007D796A"/>
    <w:rsid w:val="007E2200"/>
    <w:rsid w:val="007E493A"/>
    <w:rsid w:val="007E4F50"/>
    <w:rsid w:val="007F1768"/>
    <w:rsid w:val="007F33A1"/>
    <w:rsid w:val="007F3878"/>
    <w:rsid w:val="007F56D2"/>
    <w:rsid w:val="007F622B"/>
    <w:rsid w:val="007F6F8E"/>
    <w:rsid w:val="00800550"/>
    <w:rsid w:val="00800DA3"/>
    <w:rsid w:val="00800DA9"/>
    <w:rsid w:val="008052A1"/>
    <w:rsid w:val="008067E9"/>
    <w:rsid w:val="00815C85"/>
    <w:rsid w:val="00816241"/>
    <w:rsid w:val="00823AD6"/>
    <w:rsid w:val="0082426A"/>
    <w:rsid w:val="00824B35"/>
    <w:rsid w:val="0082778E"/>
    <w:rsid w:val="008325DB"/>
    <w:rsid w:val="008338A6"/>
    <w:rsid w:val="00836E9A"/>
    <w:rsid w:val="008372B9"/>
    <w:rsid w:val="008424AA"/>
    <w:rsid w:val="00842543"/>
    <w:rsid w:val="00851F05"/>
    <w:rsid w:val="008539DE"/>
    <w:rsid w:val="0085448D"/>
    <w:rsid w:val="00856554"/>
    <w:rsid w:val="00856A61"/>
    <w:rsid w:val="00857BCF"/>
    <w:rsid w:val="00860726"/>
    <w:rsid w:val="008618DA"/>
    <w:rsid w:val="00863E2B"/>
    <w:rsid w:val="00863F0D"/>
    <w:rsid w:val="008647C6"/>
    <w:rsid w:val="00864CAB"/>
    <w:rsid w:val="008711CE"/>
    <w:rsid w:val="00873417"/>
    <w:rsid w:val="00874839"/>
    <w:rsid w:val="00875718"/>
    <w:rsid w:val="00877837"/>
    <w:rsid w:val="0088000F"/>
    <w:rsid w:val="00885C5C"/>
    <w:rsid w:val="00885F4B"/>
    <w:rsid w:val="00890C0F"/>
    <w:rsid w:val="00890DBA"/>
    <w:rsid w:val="008935E6"/>
    <w:rsid w:val="0089482D"/>
    <w:rsid w:val="008A0CB5"/>
    <w:rsid w:val="008A6427"/>
    <w:rsid w:val="008A64FC"/>
    <w:rsid w:val="008B27B2"/>
    <w:rsid w:val="008B3655"/>
    <w:rsid w:val="008B46B8"/>
    <w:rsid w:val="008B59F5"/>
    <w:rsid w:val="008C167D"/>
    <w:rsid w:val="008C169F"/>
    <w:rsid w:val="008C191C"/>
    <w:rsid w:val="008C4731"/>
    <w:rsid w:val="008C5785"/>
    <w:rsid w:val="008C6188"/>
    <w:rsid w:val="008D2A0F"/>
    <w:rsid w:val="008D2A83"/>
    <w:rsid w:val="008D4812"/>
    <w:rsid w:val="008D5508"/>
    <w:rsid w:val="008D5EC6"/>
    <w:rsid w:val="008D7C16"/>
    <w:rsid w:val="008E00DC"/>
    <w:rsid w:val="008E391C"/>
    <w:rsid w:val="008F1237"/>
    <w:rsid w:val="008F134A"/>
    <w:rsid w:val="008F1EF9"/>
    <w:rsid w:val="008F3297"/>
    <w:rsid w:val="008F4457"/>
    <w:rsid w:val="008F7607"/>
    <w:rsid w:val="00903692"/>
    <w:rsid w:val="00915B0B"/>
    <w:rsid w:val="00917EA5"/>
    <w:rsid w:val="0092139D"/>
    <w:rsid w:val="009235EC"/>
    <w:rsid w:val="00931617"/>
    <w:rsid w:val="00932BBF"/>
    <w:rsid w:val="00935369"/>
    <w:rsid w:val="009371B5"/>
    <w:rsid w:val="0094119F"/>
    <w:rsid w:val="00944F83"/>
    <w:rsid w:val="00950D34"/>
    <w:rsid w:val="009514E8"/>
    <w:rsid w:val="009519A8"/>
    <w:rsid w:val="00952760"/>
    <w:rsid w:val="0095352F"/>
    <w:rsid w:val="00954D3F"/>
    <w:rsid w:val="00955D58"/>
    <w:rsid w:val="00966852"/>
    <w:rsid w:val="009707EB"/>
    <w:rsid w:val="00971D6C"/>
    <w:rsid w:val="00971E3E"/>
    <w:rsid w:val="009722DB"/>
    <w:rsid w:val="0097480C"/>
    <w:rsid w:val="009770D2"/>
    <w:rsid w:val="0098281F"/>
    <w:rsid w:val="00991AAF"/>
    <w:rsid w:val="009933E5"/>
    <w:rsid w:val="0099408D"/>
    <w:rsid w:val="009B168F"/>
    <w:rsid w:val="009B27FB"/>
    <w:rsid w:val="009B53C1"/>
    <w:rsid w:val="009B5C00"/>
    <w:rsid w:val="009C6B32"/>
    <w:rsid w:val="009C7397"/>
    <w:rsid w:val="009C7B94"/>
    <w:rsid w:val="009D342C"/>
    <w:rsid w:val="009D5188"/>
    <w:rsid w:val="009D625D"/>
    <w:rsid w:val="009E3DDA"/>
    <w:rsid w:val="009E4BD0"/>
    <w:rsid w:val="009E52F8"/>
    <w:rsid w:val="009E66C4"/>
    <w:rsid w:val="009E7A0E"/>
    <w:rsid w:val="009F2555"/>
    <w:rsid w:val="009F3FE1"/>
    <w:rsid w:val="009F6A3C"/>
    <w:rsid w:val="00A021E6"/>
    <w:rsid w:val="00A06424"/>
    <w:rsid w:val="00A10D64"/>
    <w:rsid w:val="00A10DFB"/>
    <w:rsid w:val="00A13696"/>
    <w:rsid w:val="00A2191C"/>
    <w:rsid w:val="00A2240F"/>
    <w:rsid w:val="00A25A2F"/>
    <w:rsid w:val="00A30C2F"/>
    <w:rsid w:val="00A345F2"/>
    <w:rsid w:val="00A36D21"/>
    <w:rsid w:val="00A43849"/>
    <w:rsid w:val="00A43F75"/>
    <w:rsid w:val="00A458B0"/>
    <w:rsid w:val="00A5439E"/>
    <w:rsid w:val="00A56041"/>
    <w:rsid w:val="00A66329"/>
    <w:rsid w:val="00A726E6"/>
    <w:rsid w:val="00A73A9B"/>
    <w:rsid w:val="00A75909"/>
    <w:rsid w:val="00A807EB"/>
    <w:rsid w:val="00A848C5"/>
    <w:rsid w:val="00A84EBF"/>
    <w:rsid w:val="00A93D83"/>
    <w:rsid w:val="00A95868"/>
    <w:rsid w:val="00A977BE"/>
    <w:rsid w:val="00A97BCE"/>
    <w:rsid w:val="00AA675B"/>
    <w:rsid w:val="00AA70E4"/>
    <w:rsid w:val="00AA75DA"/>
    <w:rsid w:val="00AB3F63"/>
    <w:rsid w:val="00AB547A"/>
    <w:rsid w:val="00AC09EA"/>
    <w:rsid w:val="00AC1AFA"/>
    <w:rsid w:val="00AC2C19"/>
    <w:rsid w:val="00AE2B35"/>
    <w:rsid w:val="00AE5484"/>
    <w:rsid w:val="00AF043E"/>
    <w:rsid w:val="00AF1A77"/>
    <w:rsid w:val="00AF1D98"/>
    <w:rsid w:val="00AF2C9A"/>
    <w:rsid w:val="00AF67BB"/>
    <w:rsid w:val="00AF6820"/>
    <w:rsid w:val="00B00E77"/>
    <w:rsid w:val="00B026B5"/>
    <w:rsid w:val="00B03810"/>
    <w:rsid w:val="00B063FD"/>
    <w:rsid w:val="00B072DA"/>
    <w:rsid w:val="00B1151D"/>
    <w:rsid w:val="00B1563E"/>
    <w:rsid w:val="00B1702B"/>
    <w:rsid w:val="00B22C83"/>
    <w:rsid w:val="00B26A4F"/>
    <w:rsid w:val="00B27209"/>
    <w:rsid w:val="00B27D62"/>
    <w:rsid w:val="00B375A3"/>
    <w:rsid w:val="00B560F6"/>
    <w:rsid w:val="00B64B7F"/>
    <w:rsid w:val="00B70C71"/>
    <w:rsid w:val="00B71D95"/>
    <w:rsid w:val="00B8187C"/>
    <w:rsid w:val="00B82C01"/>
    <w:rsid w:val="00B862C8"/>
    <w:rsid w:val="00B87155"/>
    <w:rsid w:val="00B90DE3"/>
    <w:rsid w:val="00B93C33"/>
    <w:rsid w:val="00B97480"/>
    <w:rsid w:val="00B977E0"/>
    <w:rsid w:val="00B97CE6"/>
    <w:rsid w:val="00BA323D"/>
    <w:rsid w:val="00BA7381"/>
    <w:rsid w:val="00BA7863"/>
    <w:rsid w:val="00BB1F97"/>
    <w:rsid w:val="00BC11F4"/>
    <w:rsid w:val="00BC3394"/>
    <w:rsid w:val="00BC3C12"/>
    <w:rsid w:val="00BC3FC0"/>
    <w:rsid w:val="00BC552B"/>
    <w:rsid w:val="00BC78A3"/>
    <w:rsid w:val="00BD4837"/>
    <w:rsid w:val="00BD60B0"/>
    <w:rsid w:val="00BE196C"/>
    <w:rsid w:val="00BE416E"/>
    <w:rsid w:val="00BE63B7"/>
    <w:rsid w:val="00BF1DE5"/>
    <w:rsid w:val="00BF3ACA"/>
    <w:rsid w:val="00BF67E1"/>
    <w:rsid w:val="00BF68A3"/>
    <w:rsid w:val="00BF79A4"/>
    <w:rsid w:val="00C014F9"/>
    <w:rsid w:val="00C045F1"/>
    <w:rsid w:val="00C05C9A"/>
    <w:rsid w:val="00C06E20"/>
    <w:rsid w:val="00C07C0A"/>
    <w:rsid w:val="00C108C9"/>
    <w:rsid w:val="00C10CBC"/>
    <w:rsid w:val="00C128B5"/>
    <w:rsid w:val="00C133BD"/>
    <w:rsid w:val="00C14E70"/>
    <w:rsid w:val="00C15077"/>
    <w:rsid w:val="00C177EA"/>
    <w:rsid w:val="00C2088C"/>
    <w:rsid w:val="00C2105D"/>
    <w:rsid w:val="00C23E7F"/>
    <w:rsid w:val="00C24E5A"/>
    <w:rsid w:val="00C26DCC"/>
    <w:rsid w:val="00C27D05"/>
    <w:rsid w:val="00C31FEA"/>
    <w:rsid w:val="00C32472"/>
    <w:rsid w:val="00C34669"/>
    <w:rsid w:val="00C34BA9"/>
    <w:rsid w:val="00C36E98"/>
    <w:rsid w:val="00C4022A"/>
    <w:rsid w:val="00C420BA"/>
    <w:rsid w:val="00C4463A"/>
    <w:rsid w:val="00C45F26"/>
    <w:rsid w:val="00C5053A"/>
    <w:rsid w:val="00C553E6"/>
    <w:rsid w:val="00C56E68"/>
    <w:rsid w:val="00C57F35"/>
    <w:rsid w:val="00C61B2D"/>
    <w:rsid w:val="00C65759"/>
    <w:rsid w:val="00C65792"/>
    <w:rsid w:val="00C66AD3"/>
    <w:rsid w:val="00C66E61"/>
    <w:rsid w:val="00C70FAF"/>
    <w:rsid w:val="00C7281A"/>
    <w:rsid w:val="00C738AA"/>
    <w:rsid w:val="00C81043"/>
    <w:rsid w:val="00C826D9"/>
    <w:rsid w:val="00C83DE8"/>
    <w:rsid w:val="00CA0E1A"/>
    <w:rsid w:val="00CA1310"/>
    <w:rsid w:val="00CA2A52"/>
    <w:rsid w:val="00CA2ACB"/>
    <w:rsid w:val="00CA34A9"/>
    <w:rsid w:val="00CA358E"/>
    <w:rsid w:val="00CB2146"/>
    <w:rsid w:val="00CB47D9"/>
    <w:rsid w:val="00CB6B92"/>
    <w:rsid w:val="00CC2607"/>
    <w:rsid w:val="00CC384E"/>
    <w:rsid w:val="00CC5B3E"/>
    <w:rsid w:val="00CC7CFB"/>
    <w:rsid w:val="00CD256D"/>
    <w:rsid w:val="00CD3BA9"/>
    <w:rsid w:val="00CE4F1A"/>
    <w:rsid w:val="00CF016F"/>
    <w:rsid w:val="00CF2A3B"/>
    <w:rsid w:val="00CF3552"/>
    <w:rsid w:val="00D0365F"/>
    <w:rsid w:val="00D1165C"/>
    <w:rsid w:val="00D152D9"/>
    <w:rsid w:val="00D30820"/>
    <w:rsid w:val="00D34B7B"/>
    <w:rsid w:val="00D366D1"/>
    <w:rsid w:val="00D36970"/>
    <w:rsid w:val="00D36DCC"/>
    <w:rsid w:val="00D36F2F"/>
    <w:rsid w:val="00D37A34"/>
    <w:rsid w:val="00D455A9"/>
    <w:rsid w:val="00D527DF"/>
    <w:rsid w:val="00D533A1"/>
    <w:rsid w:val="00D53C1F"/>
    <w:rsid w:val="00D55213"/>
    <w:rsid w:val="00D55D6E"/>
    <w:rsid w:val="00D57AA1"/>
    <w:rsid w:val="00D604F7"/>
    <w:rsid w:val="00D623E5"/>
    <w:rsid w:val="00D63FF4"/>
    <w:rsid w:val="00D651F5"/>
    <w:rsid w:val="00D6769E"/>
    <w:rsid w:val="00D737EF"/>
    <w:rsid w:val="00D73983"/>
    <w:rsid w:val="00D73E32"/>
    <w:rsid w:val="00D7559F"/>
    <w:rsid w:val="00D80C6A"/>
    <w:rsid w:val="00D906D2"/>
    <w:rsid w:val="00D90800"/>
    <w:rsid w:val="00D9542C"/>
    <w:rsid w:val="00DA2DA9"/>
    <w:rsid w:val="00DB087A"/>
    <w:rsid w:val="00DB6606"/>
    <w:rsid w:val="00DC2DDC"/>
    <w:rsid w:val="00DC4847"/>
    <w:rsid w:val="00DC657E"/>
    <w:rsid w:val="00DC7304"/>
    <w:rsid w:val="00DE11B7"/>
    <w:rsid w:val="00DE1C04"/>
    <w:rsid w:val="00DE7520"/>
    <w:rsid w:val="00DF2DC7"/>
    <w:rsid w:val="00DF3320"/>
    <w:rsid w:val="00DF5136"/>
    <w:rsid w:val="00E0020A"/>
    <w:rsid w:val="00E00758"/>
    <w:rsid w:val="00E03150"/>
    <w:rsid w:val="00E06637"/>
    <w:rsid w:val="00E06BD3"/>
    <w:rsid w:val="00E1472D"/>
    <w:rsid w:val="00E15269"/>
    <w:rsid w:val="00E160F0"/>
    <w:rsid w:val="00E169A7"/>
    <w:rsid w:val="00E20292"/>
    <w:rsid w:val="00E2030D"/>
    <w:rsid w:val="00E2112E"/>
    <w:rsid w:val="00E22457"/>
    <w:rsid w:val="00E235BF"/>
    <w:rsid w:val="00E252FD"/>
    <w:rsid w:val="00E25551"/>
    <w:rsid w:val="00E26906"/>
    <w:rsid w:val="00E32A04"/>
    <w:rsid w:val="00E32FD7"/>
    <w:rsid w:val="00E34382"/>
    <w:rsid w:val="00E3630B"/>
    <w:rsid w:val="00E37D5D"/>
    <w:rsid w:val="00E40569"/>
    <w:rsid w:val="00E413C8"/>
    <w:rsid w:val="00E45470"/>
    <w:rsid w:val="00E45ED6"/>
    <w:rsid w:val="00E502AE"/>
    <w:rsid w:val="00E5328B"/>
    <w:rsid w:val="00E61097"/>
    <w:rsid w:val="00E64D37"/>
    <w:rsid w:val="00E66C3C"/>
    <w:rsid w:val="00E67ACC"/>
    <w:rsid w:val="00E7549E"/>
    <w:rsid w:val="00E766C8"/>
    <w:rsid w:val="00E76E47"/>
    <w:rsid w:val="00E8237A"/>
    <w:rsid w:val="00E87816"/>
    <w:rsid w:val="00E94738"/>
    <w:rsid w:val="00E968B2"/>
    <w:rsid w:val="00EA02B3"/>
    <w:rsid w:val="00EA4259"/>
    <w:rsid w:val="00EA4AEB"/>
    <w:rsid w:val="00EA52DC"/>
    <w:rsid w:val="00EA5A25"/>
    <w:rsid w:val="00EA7910"/>
    <w:rsid w:val="00EA7982"/>
    <w:rsid w:val="00EB1C5B"/>
    <w:rsid w:val="00EC2926"/>
    <w:rsid w:val="00EC530F"/>
    <w:rsid w:val="00EC7228"/>
    <w:rsid w:val="00EC7E3E"/>
    <w:rsid w:val="00EE42F5"/>
    <w:rsid w:val="00EF2A56"/>
    <w:rsid w:val="00EF49F5"/>
    <w:rsid w:val="00EF51D0"/>
    <w:rsid w:val="00EF5F7F"/>
    <w:rsid w:val="00F00A35"/>
    <w:rsid w:val="00F02162"/>
    <w:rsid w:val="00F07694"/>
    <w:rsid w:val="00F11DE1"/>
    <w:rsid w:val="00F15E40"/>
    <w:rsid w:val="00F16FCF"/>
    <w:rsid w:val="00F17DC1"/>
    <w:rsid w:val="00F20801"/>
    <w:rsid w:val="00F218AF"/>
    <w:rsid w:val="00F22900"/>
    <w:rsid w:val="00F22FCD"/>
    <w:rsid w:val="00F2305B"/>
    <w:rsid w:val="00F379D8"/>
    <w:rsid w:val="00F41EFA"/>
    <w:rsid w:val="00F43906"/>
    <w:rsid w:val="00F4577C"/>
    <w:rsid w:val="00F46901"/>
    <w:rsid w:val="00F47C58"/>
    <w:rsid w:val="00F56FA1"/>
    <w:rsid w:val="00F6380A"/>
    <w:rsid w:val="00F63B5F"/>
    <w:rsid w:val="00F641D9"/>
    <w:rsid w:val="00F65B4B"/>
    <w:rsid w:val="00F67712"/>
    <w:rsid w:val="00F67D53"/>
    <w:rsid w:val="00F71D38"/>
    <w:rsid w:val="00F72F18"/>
    <w:rsid w:val="00F77F4E"/>
    <w:rsid w:val="00F80BF3"/>
    <w:rsid w:val="00F811C1"/>
    <w:rsid w:val="00F853ED"/>
    <w:rsid w:val="00F85F7B"/>
    <w:rsid w:val="00F867C0"/>
    <w:rsid w:val="00F868B6"/>
    <w:rsid w:val="00F87B8F"/>
    <w:rsid w:val="00F9350A"/>
    <w:rsid w:val="00F93586"/>
    <w:rsid w:val="00F93F39"/>
    <w:rsid w:val="00F963D6"/>
    <w:rsid w:val="00F965EA"/>
    <w:rsid w:val="00FA03C0"/>
    <w:rsid w:val="00FA33DF"/>
    <w:rsid w:val="00FA3DED"/>
    <w:rsid w:val="00FA4083"/>
    <w:rsid w:val="00FA669D"/>
    <w:rsid w:val="00FA69EF"/>
    <w:rsid w:val="00FB0A8D"/>
    <w:rsid w:val="00FB710F"/>
    <w:rsid w:val="00FC5317"/>
    <w:rsid w:val="00FC6A36"/>
    <w:rsid w:val="00FC6BCD"/>
    <w:rsid w:val="00FC718C"/>
    <w:rsid w:val="00FC7302"/>
    <w:rsid w:val="00FD1C3C"/>
    <w:rsid w:val="00FE3C72"/>
    <w:rsid w:val="00FE4EC0"/>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36F35F2"/>
  <w15:docId w15:val="{5EBB3661-8C7E-4394-AD14-5618B51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codes.ohio.gov/orc/3317.23"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ohioauditor.gov/publications/SheriffManual%209-27-18.pdf" TargetMode="External"/><Relationship Id="rId7" Type="http://schemas.openxmlformats.org/officeDocument/2006/relationships/endnotes" Target="endnotes.xml"/><Relationship Id="rId12" Type="http://schemas.openxmlformats.org/officeDocument/2006/relationships/hyperlink" Target="https://www.ethics.ohio.gov/advice/opinions/2008-01.pdf" TargetMode="External"/><Relationship Id="rId17" Type="http://schemas.openxmlformats.org/officeDocument/2006/relationships/hyperlink" Target="http://education.ohio.gov/getattachment/Topics/Data/Report-Card-Resources/Sections/Dropout-Recovery/Understanding-Ohios-New-Dropout-Recovery-Community-School-Report-Card.pdf.aspx?lang=en-US" TargetMode="Externa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ohio.gov/Topics/Community-Schools/Drop-Out-Prevention-and-Recovery" TargetMode="External"/><Relationship Id="rId20" Type="http://schemas.openxmlformats.org/officeDocument/2006/relationships/hyperlink" Target="http://education.ohio.gov/getattachment/Topics/Community-Schools/Drop-Out-Prevention-and-Recovery/DPR_Report-Card-Designation-Application_2019-20_3_31_2020-1.pdf.aspx?lang=en-US" TargetMode="Externa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yperlink" Target="http://education.ohio.gov/Topics/Community-Schools/Guidance-Documents-Webinars-and-Presentations"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ohioauditor.gov/publications/SheriffManual%209-27-18.pdf" TargetMode="External"/><Relationship Id="rId27" Type="http://schemas.openxmlformats.org/officeDocument/2006/relationships/header" Target="header12.xml"/><Relationship Id="rId30" Type="http://schemas.openxmlformats.org/officeDocument/2006/relationships/hyperlink" Target="https://ohioauditor.gov/publications/SheriffManual%209-27-18.pdf" TargetMode="External"/><Relationship Id="rId35" Type="http://schemas.openxmlformats.org/officeDocument/2006/relationships/header" Target="header18.xml"/></Relationships>
</file>

<file path=word/_rels/footnotes.xml.rels><?xml version="1.0" encoding="UTF-8" standalone="yes"?>
<Relationships xmlns="http://schemas.openxmlformats.org/package/2006/relationships"><Relationship Id="rId2" Type="http://schemas.openxmlformats.org/officeDocument/2006/relationships/hyperlink" Target="http://portal/BP/Intranet/Lists/Confirmation%20Listings%20%20Counties%20Municipalities%202/DispForm.aspx?ID=15&amp;Source=http%3A%2F%2Fportal%2FBP%2FIntranet%2FAuditor%2520Resources%2FConfirmation%2520Listings%2520%2D%2520Counties%2C%2520Municipalities%2C%2520Townships%2C%2520Libraries%2C%2520Etc%2Easpx%3FPageView%3DShared&amp;RootFolder=%2FBP%2FIntranet%2FLists%2FConfirmation%20Listings%20%20Counties%20Municipalities%202" TargetMode="External"/><Relationship Id="rId1" Type="http://schemas.openxmlformats.org/officeDocument/2006/relationships/hyperlink" Target="https://www.ohioattorneygeneral.gov/getattachment/6378b0fe-0a44-4019-8c62-13c7d9e3b72a/2019-0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E147-9AE9-4CEF-A250-066EC1C6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45</Pages>
  <Words>15043</Words>
  <Characters>83946</Characters>
  <Application>Microsoft Office Word</Application>
  <DocSecurity>0</DocSecurity>
  <Lines>1646</Lines>
  <Paragraphs>543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128</cp:revision>
  <cp:lastPrinted>2018-01-29T19:13:00Z</cp:lastPrinted>
  <dcterms:created xsi:type="dcterms:W3CDTF">2020-01-07T16:49:00Z</dcterms:created>
  <dcterms:modified xsi:type="dcterms:W3CDTF">2021-05-06T13:03:00Z</dcterms:modified>
</cp:coreProperties>
</file>