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C981" w14:textId="77777777" w:rsidR="00917641" w:rsidRDefault="00917641" w:rsidP="00967E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5F4A9F87" w14:textId="77777777" w:rsidR="00917641" w:rsidRDefault="00917641"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4D486EEA" w14:textId="3DBE6FBF" w:rsidR="001A3B3B" w:rsidRPr="002427D6" w:rsidRDefault="00777868"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931E15">
        <w:rPr>
          <w:rFonts w:ascii="Arial" w:hAnsi="Arial" w:cs="Arial"/>
          <w:b/>
          <w:i/>
          <w:color w:val="002060"/>
          <w:lang w:eastAsia="ja-JP"/>
        </w:rPr>
        <w:t xml:space="preserve"> Use for </w:t>
      </w:r>
      <w:r w:rsidR="00F13D85">
        <w:rPr>
          <w:rFonts w:ascii="Arial" w:hAnsi="Arial" w:cs="Arial"/>
          <w:b/>
          <w:i/>
          <w:color w:val="002060"/>
          <w:lang w:eastAsia="ja-JP"/>
        </w:rPr>
        <w:t>2022</w:t>
      </w:r>
      <w:r w:rsidRPr="00931E15">
        <w:rPr>
          <w:rFonts w:ascii="Arial" w:hAnsi="Arial" w:cs="Arial"/>
          <w:b/>
          <w:i/>
          <w:color w:val="002060"/>
          <w:lang w:eastAsia="ja-JP"/>
        </w:rPr>
        <w:t>-</w:t>
      </w:r>
      <w:r w:rsidR="00F13D85">
        <w:rPr>
          <w:rFonts w:ascii="Arial" w:hAnsi="Arial" w:cs="Arial"/>
          <w:b/>
          <w:i/>
          <w:color w:val="002060"/>
          <w:lang w:eastAsia="ja-JP"/>
        </w:rPr>
        <w:t>2023</w:t>
      </w:r>
      <w:r w:rsidRPr="00931E15">
        <w:rPr>
          <w:rFonts w:ascii="Arial" w:hAnsi="Arial" w:cs="Arial"/>
          <w:b/>
          <w:i/>
          <w:color w:val="002060"/>
          <w:lang w:eastAsia="ja-JP"/>
        </w:rPr>
        <w:t xml:space="preserve"> or </w:t>
      </w:r>
      <w:r w:rsidR="00F13D85">
        <w:rPr>
          <w:rFonts w:ascii="Arial" w:hAnsi="Arial" w:cs="Arial"/>
          <w:b/>
          <w:i/>
          <w:color w:val="002060"/>
          <w:lang w:eastAsia="ja-JP"/>
        </w:rPr>
        <w:t>2023</w:t>
      </w:r>
      <w:r w:rsidRPr="00931E15">
        <w:rPr>
          <w:rFonts w:ascii="Arial" w:hAnsi="Arial" w:cs="Arial"/>
          <w:b/>
          <w:i/>
          <w:color w:val="002060"/>
          <w:lang w:eastAsia="ja-JP"/>
        </w:rPr>
        <w:t xml:space="preserve"> AUPs</w:t>
      </w:r>
      <w:r w:rsidR="00DF7907" w:rsidRPr="002427D6">
        <w:rPr>
          <w:rStyle w:val="EndnoteReference"/>
          <w:rFonts w:ascii="Arial" w:hAnsi="Arial" w:cs="Arial"/>
          <w:b/>
          <w:i/>
          <w:color w:val="002060"/>
          <w:lang w:eastAsia="ja-JP"/>
        </w:rPr>
        <w:endnoteReference w:id="1"/>
      </w:r>
    </w:p>
    <w:p w14:paraId="4D3E0FFB" w14:textId="77777777" w:rsidR="005B1231" w:rsidRPr="00B31A4B" w:rsidRDefault="005B1231"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4D0F3EC5" w14:textId="46D4180B" w:rsidR="008D2DB3" w:rsidRPr="00B31A4B" w:rsidRDefault="001A3B3B" w:rsidP="009176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B31A4B">
        <w:rPr>
          <w:rFonts w:ascii="Arial" w:hAnsi="Arial" w:cs="Arial"/>
          <w:b/>
          <w:i/>
          <w:color w:val="002060"/>
          <w:lang w:eastAsia="ja-JP"/>
        </w:rPr>
        <w:t>(</w:t>
      </w:r>
      <w:r w:rsidR="00C823EF" w:rsidRPr="00B31A4B">
        <w:rPr>
          <w:rFonts w:ascii="Arial" w:hAnsi="Arial" w:cs="Arial"/>
          <w:b/>
          <w:i/>
          <w:color w:val="002060"/>
          <w:lang w:eastAsia="ja-JP"/>
        </w:rPr>
        <w:t xml:space="preserve">Convention &amp; Visitor Bureau </w:t>
      </w:r>
      <w:r w:rsidR="00F14413" w:rsidRPr="00B31A4B">
        <w:rPr>
          <w:rFonts w:ascii="Arial" w:hAnsi="Arial" w:cs="Arial"/>
          <w:b/>
          <w:i/>
          <w:color w:val="002060"/>
          <w:lang w:eastAsia="ja-JP"/>
        </w:rPr>
        <w:t>AUP</w:t>
      </w:r>
      <w:r w:rsidRPr="00B31A4B">
        <w:rPr>
          <w:rFonts w:ascii="Arial" w:hAnsi="Arial" w:cs="Arial"/>
          <w:b/>
          <w:i/>
          <w:color w:val="002060"/>
          <w:lang w:eastAsia="ja-JP"/>
        </w:rPr>
        <w:t xml:space="preserve"> </w:t>
      </w:r>
      <w:r w:rsidRPr="00B31A4B">
        <w:rPr>
          <w:rFonts w:ascii="Arial" w:hAnsi="Arial" w:cs="Arial"/>
          <w:b/>
          <w:i/>
          <w:color w:val="002060"/>
        </w:rPr>
        <w:t xml:space="preserve">– Per AT-C </w:t>
      </w:r>
      <w:r w:rsidR="00AC35EF" w:rsidRPr="00B31A4B">
        <w:rPr>
          <w:rFonts w:ascii="Arial" w:hAnsi="Arial" w:cs="Arial"/>
          <w:b/>
          <w:i/>
          <w:color w:val="002060"/>
        </w:rPr>
        <w:t xml:space="preserve">105 &amp; </w:t>
      </w:r>
      <w:r w:rsidRPr="00B31A4B">
        <w:rPr>
          <w:rFonts w:ascii="Arial" w:hAnsi="Arial" w:cs="Arial"/>
          <w:b/>
          <w:i/>
          <w:color w:val="002060"/>
        </w:rPr>
        <w:t>215 &amp; GAGAS</w:t>
      </w:r>
      <w:r w:rsidR="002427D6">
        <w:rPr>
          <w:rFonts w:ascii="Arial" w:hAnsi="Arial" w:cs="Arial"/>
          <w:b/>
          <w:i/>
          <w:color w:val="002060"/>
        </w:rPr>
        <w:t xml:space="preserve"> </w:t>
      </w:r>
      <w:r w:rsidR="00F13D85">
        <w:rPr>
          <w:rFonts w:ascii="Arial" w:hAnsi="Arial" w:cs="Arial"/>
          <w:b/>
          <w:i/>
          <w:color w:val="002060"/>
          <w:lang w:eastAsia="ja-JP"/>
        </w:rPr>
        <w:t>January 2024</w:t>
      </w:r>
      <w:r w:rsidR="00325164" w:rsidRPr="000726BB">
        <w:rPr>
          <w:rStyle w:val="EndnoteReference"/>
          <w:rFonts w:ascii="Arial" w:hAnsi="Arial" w:cs="Arial"/>
          <w:b/>
          <w:i/>
          <w:color w:val="002060"/>
          <w:lang w:eastAsia="ja-JP"/>
        </w:rPr>
        <w:endnoteReference w:id="2"/>
      </w:r>
      <w:r w:rsidR="000D5310" w:rsidRPr="000726BB">
        <w:rPr>
          <w:rFonts w:ascii="Arial" w:hAnsi="Arial" w:cs="Arial"/>
          <w:b/>
          <w:i/>
          <w:color w:val="002060"/>
          <w:lang w:eastAsia="ja-JP"/>
        </w:rPr>
        <w:t>)</w:t>
      </w:r>
      <w:r w:rsidR="00E3319A" w:rsidRPr="00FA59C9">
        <w:rPr>
          <w:rStyle w:val="EndnoteReference"/>
          <w:rFonts w:ascii="Arial" w:hAnsi="Arial" w:cs="Arial"/>
          <w:b/>
          <w:i/>
          <w:color w:val="002060"/>
          <w:lang w:eastAsia="ja-JP"/>
        </w:rPr>
        <w:endnoteReference w:id="3"/>
      </w:r>
    </w:p>
    <w:p w14:paraId="5CE7D90A" w14:textId="4729717B" w:rsidR="000D5310" w:rsidRPr="00B31A4B" w:rsidRDefault="000D5310"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B31A4B">
        <w:rPr>
          <w:rFonts w:ascii="Arial" w:hAnsi="Arial" w:cs="Arial"/>
          <w:b/>
          <w:lang w:eastAsia="ja-JP"/>
        </w:rPr>
        <w:t>INDEPENDENT ACCOUNTANT</w:t>
      </w:r>
      <w:r w:rsidR="00091986">
        <w:rPr>
          <w:rFonts w:ascii="Arial" w:hAnsi="Arial" w:cs="Arial"/>
          <w:b/>
          <w:lang w:eastAsia="ja-JP"/>
        </w:rPr>
        <w:t>’</w:t>
      </w:r>
      <w:r w:rsidRPr="00B31A4B">
        <w:rPr>
          <w:rFonts w:ascii="Arial" w:hAnsi="Arial" w:cs="Arial"/>
          <w:b/>
          <w:lang w:eastAsia="ja-JP"/>
        </w:rPr>
        <w:t>S</w:t>
      </w:r>
      <w:r w:rsidR="00D741C3" w:rsidRPr="00B31A4B">
        <w:rPr>
          <w:rFonts w:ascii="Arial" w:hAnsi="Arial" w:cs="Arial"/>
          <w:b/>
          <w:lang w:eastAsia="ja-JP"/>
        </w:rPr>
        <w:t xml:space="preserve"> REPORT</w:t>
      </w:r>
      <w:r w:rsidRPr="00B31A4B">
        <w:rPr>
          <w:rFonts w:ascii="Arial" w:hAnsi="Arial" w:cs="Arial"/>
          <w:b/>
          <w:lang w:eastAsia="ja-JP"/>
        </w:rPr>
        <w:t xml:space="preserve"> ON APPLYING AGREED-UPON PROCEDURES</w:t>
      </w:r>
    </w:p>
    <w:p w14:paraId="457E4DCB" w14:textId="77777777" w:rsidR="000D5310" w:rsidRPr="00B31A4B" w:rsidRDefault="000D5310"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97B3393" w14:textId="36EC6B4B" w:rsidR="00C96AE5" w:rsidRDefault="00C96AE5"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6DCF629" w14:textId="77777777" w:rsidR="00917641" w:rsidRPr="00B31A4B" w:rsidRDefault="00917641"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676452D" w14:textId="77777777" w:rsidR="008576AF" w:rsidRPr="00B31A4B" w:rsidRDefault="00325164"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31A4B">
        <w:rPr>
          <w:rFonts w:ascii="Arial" w:hAnsi="Arial" w:cs="Arial"/>
          <w:color w:val="FF0000"/>
          <w:lang w:eastAsia="ja-JP"/>
        </w:rPr>
        <w:t>[Name of]</w:t>
      </w:r>
      <w:r w:rsidR="008576AF" w:rsidRPr="00B31A4B">
        <w:rPr>
          <w:rFonts w:ascii="Arial" w:hAnsi="Arial" w:cs="Arial"/>
          <w:lang w:eastAsia="ja-JP"/>
        </w:rPr>
        <w:t xml:space="preserve"> Convention and Visitors Bureau</w:t>
      </w:r>
    </w:p>
    <w:p w14:paraId="2248A0B9" w14:textId="77777777" w:rsidR="00E81FE4" w:rsidRPr="00B31A4B" w:rsidRDefault="00325164"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31A4B">
        <w:rPr>
          <w:rFonts w:ascii="Arial" w:hAnsi="Arial" w:cs="Arial"/>
          <w:color w:val="FF0000"/>
          <w:lang w:eastAsia="ja-JP"/>
        </w:rPr>
        <w:t>[Name of]</w:t>
      </w:r>
      <w:r w:rsidR="00E81FE4" w:rsidRPr="00B31A4B">
        <w:rPr>
          <w:rFonts w:ascii="Arial" w:hAnsi="Arial" w:cs="Arial"/>
          <w:lang w:eastAsia="ja-JP"/>
        </w:rPr>
        <w:t xml:space="preserve"> County</w:t>
      </w:r>
    </w:p>
    <w:p w14:paraId="574A96B9" w14:textId="0283DDE1" w:rsidR="00325164" w:rsidRPr="00B31A4B" w:rsidRDefault="00325164"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B31A4B">
        <w:rPr>
          <w:rFonts w:ascii="Arial" w:hAnsi="Arial" w:cs="Arial"/>
          <w:color w:val="FF0000"/>
          <w:lang w:eastAsia="ja-JP"/>
        </w:rPr>
        <w:t>[Address]</w:t>
      </w:r>
      <w:r w:rsidR="00A6127B">
        <w:rPr>
          <w:rFonts w:ascii="Arial" w:hAnsi="Arial" w:cs="Arial"/>
          <w:color w:val="FF0000"/>
          <w:lang w:eastAsia="ja-JP"/>
        </w:rPr>
        <w:tab/>
      </w:r>
    </w:p>
    <w:p w14:paraId="638515EA" w14:textId="77777777" w:rsidR="00325164" w:rsidRPr="00B31A4B" w:rsidRDefault="00325164"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B31A4B">
        <w:rPr>
          <w:rFonts w:ascii="Arial" w:hAnsi="Arial" w:cs="Arial"/>
          <w:color w:val="FF0000"/>
          <w:lang w:eastAsia="ja-JP"/>
        </w:rPr>
        <w:t>[City]</w:t>
      </w:r>
      <w:r w:rsidRPr="00B31A4B">
        <w:rPr>
          <w:rFonts w:ascii="Arial" w:hAnsi="Arial" w:cs="Arial"/>
          <w:lang w:eastAsia="ja-JP"/>
        </w:rPr>
        <w:t xml:space="preserve">, Ohio </w:t>
      </w:r>
      <w:r w:rsidRPr="007D078C">
        <w:rPr>
          <w:rFonts w:ascii="Arial" w:hAnsi="Arial" w:cs="Arial"/>
          <w:color w:val="FF0000"/>
          <w:lang w:eastAsia="ja-JP"/>
        </w:rPr>
        <w:t>[Zip Code]</w:t>
      </w:r>
    </w:p>
    <w:p w14:paraId="03A6A2A1" w14:textId="77777777" w:rsidR="008576AF" w:rsidRPr="00B31A4B" w:rsidRDefault="008576AF"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AB9AE31" w14:textId="77777777" w:rsidR="00C96AE5" w:rsidRPr="00B31A4B" w:rsidRDefault="00C96AE5"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CE832C1" w14:textId="11773F95" w:rsidR="00DF7907" w:rsidRDefault="003F6DFE"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31A4B">
        <w:rPr>
          <w:rFonts w:ascii="Arial" w:hAnsi="Arial" w:cs="Arial"/>
          <w:lang w:eastAsia="ja-JP"/>
        </w:rPr>
        <w:t>We have performed the procedures enumerated below</w:t>
      </w:r>
      <w:r w:rsidR="00DF7907">
        <w:rPr>
          <w:rFonts w:ascii="Arial" w:hAnsi="Arial" w:cs="Arial"/>
          <w:lang w:eastAsia="ja-JP"/>
        </w:rPr>
        <w:t xml:space="preserve"> on the</w:t>
      </w:r>
      <w:r w:rsidRPr="00B31A4B">
        <w:rPr>
          <w:rFonts w:ascii="Arial" w:hAnsi="Arial" w:cs="Arial"/>
        </w:rPr>
        <w:t xml:space="preserve"> </w:t>
      </w:r>
      <w:r w:rsidR="00325164" w:rsidRPr="00B31A4B">
        <w:rPr>
          <w:rFonts w:ascii="Arial" w:hAnsi="Arial" w:cs="Arial"/>
          <w:color w:val="FF0000"/>
        </w:rPr>
        <w:t>[Name of]</w:t>
      </w:r>
      <w:r w:rsidRPr="00B31A4B">
        <w:rPr>
          <w:rFonts w:ascii="Arial" w:hAnsi="Arial" w:cs="Arial"/>
        </w:rPr>
        <w:t xml:space="preserve"> </w:t>
      </w:r>
      <w:r w:rsidR="007A4792" w:rsidRPr="00B31A4B">
        <w:rPr>
          <w:rFonts w:ascii="Arial" w:hAnsi="Arial" w:cs="Arial"/>
        </w:rPr>
        <w:t>Convention &amp; Visitor Bureau</w:t>
      </w:r>
      <w:r w:rsidR="00DF7907">
        <w:rPr>
          <w:rFonts w:ascii="Arial" w:hAnsi="Arial" w:cs="Arial"/>
        </w:rPr>
        <w:t>’s</w:t>
      </w:r>
      <w:r w:rsidR="007A4792" w:rsidRPr="00B31A4B">
        <w:rPr>
          <w:rFonts w:ascii="Arial" w:hAnsi="Arial" w:cs="Arial"/>
        </w:rPr>
        <w:t xml:space="preserve"> (the Bureau</w:t>
      </w:r>
      <w:r w:rsidRPr="00B31A4B">
        <w:rPr>
          <w:rFonts w:ascii="Arial" w:hAnsi="Arial" w:cs="Arial"/>
        </w:rPr>
        <w:t xml:space="preserve">) receipts, disbursements </w:t>
      </w:r>
      <w:r w:rsidR="007A4792" w:rsidRPr="00B31A4B">
        <w:rPr>
          <w:rFonts w:ascii="Arial" w:hAnsi="Arial" w:cs="Arial"/>
        </w:rPr>
        <w:t xml:space="preserve">and balances recorded in the </w:t>
      </w:r>
      <w:r w:rsidRPr="00B31A4B">
        <w:rPr>
          <w:rFonts w:ascii="Arial" w:hAnsi="Arial" w:cs="Arial"/>
        </w:rPr>
        <w:t xml:space="preserve">cash basis accounting records for the years ended December 31, </w:t>
      </w:r>
      <w:r w:rsidR="00F13D85">
        <w:rPr>
          <w:rFonts w:ascii="Arial" w:hAnsi="Arial" w:cs="Arial"/>
        </w:rPr>
        <w:t>2023</w:t>
      </w:r>
      <w:r w:rsidR="00777868">
        <w:rPr>
          <w:rFonts w:ascii="Arial" w:hAnsi="Arial" w:cs="Arial"/>
        </w:rPr>
        <w:t xml:space="preserve"> </w:t>
      </w:r>
      <w:r w:rsidRPr="00B31A4B">
        <w:rPr>
          <w:rFonts w:ascii="Arial" w:hAnsi="Arial" w:cs="Arial"/>
        </w:rPr>
        <w:t xml:space="preserve">and </w:t>
      </w:r>
      <w:r w:rsidR="00F13D85">
        <w:rPr>
          <w:rFonts w:ascii="Arial" w:hAnsi="Arial" w:cs="Arial"/>
        </w:rPr>
        <w:t>2022</w:t>
      </w:r>
      <w:r w:rsidR="009B61A8" w:rsidRPr="00B31A4B">
        <w:rPr>
          <w:rFonts w:ascii="Arial" w:hAnsi="Arial" w:cs="Arial"/>
        </w:rPr>
        <w:t xml:space="preserve"> </w:t>
      </w:r>
      <w:r w:rsidRPr="00B31A4B">
        <w:rPr>
          <w:rFonts w:ascii="Arial" w:hAnsi="Arial" w:cs="Arial"/>
        </w:rPr>
        <w:t>and certain compliance requirements related to those transactions and balances, included in the information provided to us by the management of the</w:t>
      </w:r>
      <w:r w:rsidR="007A4792" w:rsidRPr="00B31A4B">
        <w:rPr>
          <w:rFonts w:ascii="Arial" w:hAnsi="Arial" w:cs="Arial"/>
        </w:rPr>
        <w:t xml:space="preserve"> Bureau.  The Bureau</w:t>
      </w:r>
      <w:r w:rsidRPr="00B31A4B">
        <w:rPr>
          <w:rFonts w:ascii="Arial" w:hAnsi="Arial" w:cs="Arial"/>
        </w:rPr>
        <w:t xml:space="preserve"> is responsible for the receipts, disbursements and balances recorded in the cash basis accounting records for the years ended December 31, </w:t>
      </w:r>
      <w:r w:rsidR="00F13D85">
        <w:rPr>
          <w:rFonts w:ascii="Arial" w:hAnsi="Arial" w:cs="Arial"/>
        </w:rPr>
        <w:t>2023</w:t>
      </w:r>
      <w:r w:rsidR="00777868">
        <w:rPr>
          <w:rFonts w:ascii="Arial" w:hAnsi="Arial" w:cs="Arial"/>
        </w:rPr>
        <w:t xml:space="preserve"> </w:t>
      </w:r>
      <w:r w:rsidRPr="00B31A4B">
        <w:rPr>
          <w:rFonts w:ascii="Arial" w:hAnsi="Arial" w:cs="Arial"/>
        </w:rPr>
        <w:t xml:space="preserve">and </w:t>
      </w:r>
      <w:r w:rsidR="00F13D85">
        <w:rPr>
          <w:rFonts w:ascii="Arial" w:hAnsi="Arial" w:cs="Arial"/>
        </w:rPr>
        <w:t>2022</w:t>
      </w:r>
      <w:r w:rsidR="009B61A8" w:rsidRPr="00B31A4B">
        <w:rPr>
          <w:rFonts w:ascii="Arial" w:hAnsi="Arial" w:cs="Arial"/>
        </w:rPr>
        <w:t xml:space="preserve"> </w:t>
      </w:r>
      <w:r w:rsidRPr="00B31A4B">
        <w:rPr>
          <w:rFonts w:ascii="Arial" w:hAnsi="Arial" w:cs="Arial"/>
        </w:rPr>
        <w:t>and certain compliance requirements related to these transactions and balances included in the informatio</w:t>
      </w:r>
      <w:r w:rsidR="007A4792" w:rsidRPr="00B31A4B">
        <w:rPr>
          <w:rFonts w:ascii="Arial" w:hAnsi="Arial" w:cs="Arial"/>
        </w:rPr>
        <w:t>n provided to us by the Bureau</w:t>
      </w:r>
      <w:r w:rsidR="00AE0387" w:rsidRPr="00B31A4B">
        <w:rPr>
          <w:rFonts w:ascii="Arial" w:hAnsi="Arial" w:cs="Arial"/>
        </w:rPr>
        <w:t>.</w:t>
      </w:r>
      <w:r w:rsidRPr="00B31A4B">
        <w:rPr>
          <w:rFonts w:ascii="Arial" w:hAnsi="Arial" w:cs="Arial"/>
        </w:rPr>
        <w:t xml:space="preserve"> </w:t>
      </w:r>
    </w:p>
    <w:p w14:paraId="1B828698" w14:textId="655A3568" w:rsidR="00DF7907" w:rsidRDefault="00DF7907"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C308A09" w14:textId="065DC79E" w:rsidR="003F6DFE" w:rsidRPr="00B31A4B" w:rsidRDefault="00DF7907"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F7907">
        <w:rPr>
          <w:rFonts w:ascii="Arial" w:hAnsi="Arial" w:cs="Arial"/>
        </w:rPr>
        <w:t xml:space="preserve">The </w:t>
      </w:r>
      <w:r>
        <w:rPr>
          <w:rFonts w:ascii="Arial" w:hAnsi="Arial" w:cs="Arial"/>
        </w:rPr>
        <w:t>Board of Trustees</w:t>
      </w:r>
      <w:r w:rsidRPr="00DF7907">
        <w:rPr>
          <w:rFonts w:ascii="Arial" w:hAnsi="Arial" w:cs="Arial"/>
        </w:rPr>
        <w:t xml:space="preserve"> and the management of the </w:t>
      </w:r>
      <w:r>
        <w:rPr>
          <w:rFonts w:ascii="Arial" w:hAnsi="Arial" w:cs="Arial"/>
        </w:rPr>
        <w:t>Bureau</w:t>
      </w:r>
      <w:r w:rsidRPr="00DF7907">
        <w:rPr>
          <w:rFonts w:ascii="Arial" w:hAnsi="Arial" w:cs="Arial"/>
        </w:rPr>
        <w:t xml:space="preserve"> have agreed to and acknowledged that the procedures performed are appropriate to meet the intended purpose of </w:t>
      </w:r>
      <w:proofErr w:type="gramStart"/>
      <w:r w:rsidRPr="00DF7907">
        <w:rPr>
          <w:rFonts w:ascii="Arial" w:hAnsi="Arial" w:cs="Arial"/>
        </w:rPr>
        <w:t>providing assistance</w:t>
      </w:r>
      <w:proofErr w:type="gramEnd"/>
      <w:r w:rsidRPr="00DF7907">
        <w:rPr>
          <w:rFonts w:ascii="Arial" w:hAnsi="Arial" w:cs="Arial"/>
        </w:rPr>
        <w:t xml:space="preserve"> in the evaluation of the </w:t>
      </w:r>
      <w:r>
        <w:rPr>
          <w:rFonts w:ascii="Arial" w:hAnsi="Arial" w:cs="Arial"/>
        </w:rPr>
        <w:t>Bureau</w:t>
      </w:r>
      <w:r w:rsidRPr="00DF7907">
        <w:rPr>
          <w:rFonts w:ascii="Arial" w:hAnsi="Arial" w:cs="Arial"/>
        </w:rPr>
        <w:t xml:space="preserve">’s receipts, disbursements and balances recorded in their cash-basis accounting records for the years ended December 31, </w:t>
      </w:r>
      <w:r w:rsidR="00F13D85">
        <w:rPr>
          <w:rFonts w:ascii="Arial" w:hAnsi="Arial" w:cs="Arial"/>
        </w:rPr>
        <w:t>2023</w:t>
      </w:r>
      <w:r w:rsidR="002427D6">
        <w:rPr>
          <w:rFonts w:ascii="Arial" w:hAnsi="Arial" w:cs="Arial"/>
        </w:rPr>
        <w:t xml:space="preserve"> </w:t>
      </w:r>
      <w:r w:rsidRPr="00DF7907">
        <w:rPr>
          <w:rFonts w:ascii="Arial" w:hAnsi="Arial" w:cs="Arial"/>
        </w:rPr>
        <w:t>and</w:t>
      </w:r>
      <w:r w:rsidR="002427D6">
        <w:rPr>
          <w:rFonts w:ascii="Arial" w:hAnsi="Arial" w:cs="Arial"/>
        </w:rPr>
        <w:t xml:space="preserve"> </w:t>
      </w:r>
      <w:r w:rsidR="00F13D85">
        <w:rPr>
          <w:rFonts w:ascii="Arial" w:hAnsi="Arial" w:cs="Arial"/>
        </w:rPr>
        <w:t>2022</w:t>
      </w:r>
      <w:r w:rsidRPr="00DF7907">
        <w:rPr>
          <w:rFonts w:ascii="Arial" w:hAnsi="Arial" w:cs="Arial"/>
        </w:rPr>
        <w:t xml:space="preserve">, and certain compliance requirements related to these transactions and balances. </w:t>
      </w:r>
      <w:r w:rsidRPr="00DF7907">
        <w:rPr>
          <w:rFonts w:ascii="Arial" w:hAnsi="Arial" w:cs="Arial"/>
          <w:b/>
          <w:color w:val="FF0000"/>
        </w:rPr>
        <w:t>[Additionally, the Auditor of State has agreed to and acknowledged that the procedures performed are appropriate to meet their purposes.]</w:t>
      </w:r>
      <w:r w:rsidRPr="00DF7907">
        <w:rPr>
          <w:rFonts w:ascii="Arial" w:hAnsi="Arial" w:cs="Arial"/>
          <w:b/>
          <w:i/>
          <w:color w:val="1F3864"/>
          <w:vertAlign w:val="superscript"/>
        </w:rPr>
        <w:endnoteReference w:id="4"/>
      </w:r>
      <w:r w:rsidRPr="00DF7907">
        <w:rPr>
          <w:rFonts w:ascii="Arial" w:hAnsi="Arial" w:cs="Arial"/>
          <w:b/>
          <w:i/>
          <w:color w:val="002060"/>
        </w:rPr>
        <w:t xml:space="preserve"> [&lt;&lt;IPAs must insert this. AOS staff should never insert this].  </w:t>
      </w:r>
      <w:r w:rsidRPr="005B1231">
        <w:rPr>
          <w:rFonts w:ascii="Arial" w:hAnsi="Arial" w:cs="Arial"/>
        </w:rPr>
        <w:t xml:space="preserve">No other party acknowledged the appropriateness of the procedures. </w:t>
      </w:r>
      <w:r w:rsidRPr="00DF7907">
        <w:rPr>
          <w:rFonts w:ascii="Arial" w:hAnsi="Arial" w:cs="Arial"/>
        </w:rPr>
        <w:t xml:space="preserve">This report may not be suitable for any other purpose. </w:t>
      </w:r>
      <w:r w:rsidRPr="00DF7907">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3F6DFE" w:rsidRPr="00B31A4B">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2D2C3C75" w14:textId="77777777" w:rsidR="00D65093" w:rsidRPr="00B31A4B" w:rsidRDefault="00D65093"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5182F65" w14:textId="564F137F" w:rsidR="00D65093" w:rsidRDefault="00DF7907"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F7907">
        <w:rPr>
          <w:rFonts w:ascii="Arial" w:hAnsi="Arial" w:cs="Arial"/>
          <w:lang w:eastAsia="ja-JP"/>
        </w:rPr>
        <w:t>For the purposes of performing these procedures, this</w:t>
      </w:r>
      <w:r w:rsidR="00D65093" w:rsidRPr="00B31A4B">
        <w:rPr>
          <w:rFonts w:ascii="Arial" w:hAnsi="Arial" w:cs="Arial"/>
          <w:lang w:eastAsia="ja-JP"/>
        </w:rPr>
        <w:t xml:space="preserve"> report only describes exceptions exceeding $10.</w:t>
      </w:r>
    </w:p>
    <w:p w14:paraId="72F51247" w14:textId="31352841" w:rsidR="00DF7907" w:rsidRDefault="00DF7907"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F561629" w14:textId="69490B14" w:rsidR="00DF7907" w:rsidRPr="00B31A4B" w:rsidRDefault="00DF7907"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F7907">
        <w:rPr>
          <w:rFonts w:ascii="Arial" w:hAnsi="Arial" w:cs="Arial"/>
          <w:lang w:eastAsia="ja-JP"/>
        </w:rPr>
        <w:t>The procedures and the associated findings are as follows:</w:t>
      </w:r>
    </w:p>
    <w:p w14:paraId="1389B271" w14:textId="77777777" w:rsidR="00022E09" w:rsidRPr="00B31A4B" w:rsidRDefault="00022E09"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00CBBC2" w14:textId="4D9EFD58" w:rsidR="00A767FD" w:rsidRDefault="00325164" w:rsidP="00A767FD">
      <w:pPr>
        <w:rPr>
          <w:sz w:val="24"/>
          <w:szCs w:val="24"/>
        </w:rPr>
      </w:pPr>
      <w:r w:rsidRPr="00B31A4B">
        <w:rPr>
          <w:rFonts w:ascii="Arial" w:hAnsi="Arial" w:cs="Arial"/>
          <w:b/>
          <w:lang w:eastAsia="ja-JP"/>
        </w:rPr>
        <w:t xml:space="preserve">Cash </w:t>
      </w:r>
      <w:r w:rsidRPr="00B31A4B">
        <w:rPr>
          <w:rFonts w:ascii="Arial" w:hAnsi="Arial" w:cs="Arial"/>
          <w:b/>
          <w:color w:val="FF0000"/>
          <w:lang w:eastAsia="ja-JP"/>
        </w:rPr>
        <w:t>[and Investments]</w:t>
      </w:r>
      <w:r w:rsidRPr="00B31A4B">
        <w:rPr>
          <w:rFonts w:ascii="Arial" w:hAnsi="Arial" w:cs="Arial"/>
          <w:b/>
          <w:lang w:eastAsia="ja-JP"/>
        </w:rPr>
        <w:t xml:space="preserve"> </w:t>
      </w:r>
      <w:r w:rsidRPr="00B31A4B">
        <w:rPr>
          <w:rFonts w:ascii="Arial" w:hAnsi="Arial" w:cs="Arial"/>
          <w:b/>
          <w:i/>
          <w:color w:val="002060"/>
          <w:lang w:eastAsia="ja-JP"/>
        </w:rPr>
        <w:t>[if applicable]</w:t>
      </w:r>
      <w:r w:rsidR="00FD0898" w:rsidRPr="00B31A4B">
        <w:rPr>
          <w:rFonts w:ascii="Arial" w:hAnsi="Arial" w:cs="Arial"/>
          <w:b/>
          <w:lang w:eastAsia="ja-JP"/>
        </w:rPr>
        <w:t xml:space="preserve"> </w:t>
      </w:r>
      <w:r w:rsidR="00B85731" w:rsidRPr="00B31A4B">
        <w:rPr>
          <w:rStyle w:val="EndnoteReference"/>
          <w:rFonts w:ascii="Arial" w:hAnsi="Arial" w:cs="Arial"/>
          <w:b/>
          <w:i/>
          <w:color w:val="002060"/>
          <w:lang w:eastAsia="ja-JP"/>
        </w:rPr>
        <w:endnoteReference w:id="5"/>
      </w:r>
      <w:r w:rsidR="00A767FD">
        <w:rPr>
          <w:rFonts w:ascii="Arial" w:hAnsi="Arial" w:cs="Arial"/>
          <w:b/>
          <w:lang w:eastAsia="ja-JP"/>
        </w:rPr>
        <w:t xml:space="preserve"> </w:t>
      </w:r>
      <w:r w:rsidR="007F2421">
        <w:rPr>
          <w:rStyle w:val="EndnoteReference"/>
          <w:rFonts w:ascii="Arial" w:hAnsi="Arial" w:cs="Arial"/>
          <w:b/>
          <w:i/>
          <w:color w:val="002060"/>
          <w:lang w:eastAsia="ja-JP"/>
        </w:rPr>
        <w:endnoteReference w:id="6"/>
      </w:r>
    </w:p>
    <w:p w14:paraId="278353B6" w14:textId="77777777" w:rsidR="00FD0898" w:rsidRPr="00B31A4B" w:rsidRDefault="00FD0898" w:rsidP="00B31A4B">
      <w:pPr>
        <w:jc w:val="both"/>
        <w:rPr>
          <w:rFonts w:ascii="Arial" w:hAnsi="Arial" w:cs="Arial"/>
          <w:lang w:eastAsia="ja-JP"/>
        </w:rPr>
      </w:pPr>
    </w:p>
    <w:p w14:paraId="742F2529" w14:textId="7800C3A6" w:rsidR="00FD0898" w:rsidRPr="00B31A4B"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w:t>
      </w:r>
      <w:r w:rsidR="00652C08" w:rsidRPr="00B31A4B">
        <w:rPr>
          <w:rFonts w:ascii="Arial" w:hAnsi="Arial" w:cs="Arial"/>
          <w:lang w:eastAsia="ja-JP"/>
        </w:rPr>
        <w:t>recalculated</w:t>
      </w:r>
      <w:r w:rsidR="00BD7B68" w:rsidRPr="00B31A4B">
        <w:rPr>
          <w:rFonts w:ascii="Arial" w:hAnsi="Arial" w:cs="Arial"/>
          <w:lang w:eastAsia="ja-JP"/>
        </w:rPr>
        <w:t xml:space="preserve"> </w:t>
      </w:r>
      <w:r w:rsidRPr="00B31A4B">
        <w:rPr>
          <w:rFonts w:ascii="Arial" w:hAnsi="Arial" w:cs="Arial"/>
          <w:lang w:eastAsia="ja-JP"/>
        </w:rPr>
        <w:t xml:space="preserve">the December 31, </w:t>
      </w:r>
      <w:r w:rsidR="00F13D85">
        <w:rPr>
          <w:rFonts w:ascii="Arial" w:hAnsi="Arial" w:cs="Arial"/>
          <w:lang w:eastAsia="ja-JP"/>
        </w:rPr>
        <w:t>2023</w:t>
      </w:r>
      <w:r w:rsidR="00777868">
        <w:rPr>
          <w:rFonts w:ascii="Arial" w:hAnsi="Arial" w:cs="Arial"/>
          <w:lang w:eastAsia="ja-JP"/>
        </w:rPr>
        <w:t xml:space="preserve"> </w:t>
      </w:r>
      <w:r w:rsidRPr="00B31A4B">
        <w:rPr>
          <w:rFonts w:ascii="Arial" w:hAnsi="Arial" w:cs="Arial"/>
          <w:lang w:eastAsia="ja-JP"/>
        </w:rPr>
        <w:t xml:space="preserve">and December 31, </w:t>
      </w:r>
      <w:r w:rsidR="00F13D85">
        <w:rPr>
          <w:rFonts w:ascii="Arial" w:hAnsi="Arial" w:cs="Arial"/>
          <w:lang w:eastAsia="ja-JP"/>
        </w:rPr>
        <w:t>2022</w:t>
      </w:r>
      <w:r w:rsidR="00777868">
        <w:rPr>
          <w:rFonts w:ascii="Arial" w:hAnsi="Arial" w:cs="Arial"/>
          <w:lang w:eastAsia="ja-JP"/>
        </w:rPr>
        <w:t xml:space="preserve"> </w:t>
      </w:r>
      <w:r w:rsidRPr="00B31A4B">
        <w:rPr>
          <w:rFonts w:ascii="Arial" w:hAnsi="Arial" w:cs="Arial"/>
          <w:lang w:eastAsia="ja-JP"/>
        </w:rPr>
        <w:t>bank reconciliations.  We found no exceptions.</w:t>
      </w:r>
    </w:p>
    <w:p w14:paraId="4FB19100" w14:textId="77777777" w:rsidR="00FD0898" w:rsidRPr="00B31A4B" w:rsidRDefault="00FD0898" w:rsidP="00B31A4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3099ACF" w14:textId="6143BBB1" w:rsidR="00FD0898"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agreed the January 1, </w:t>
      </w:r>
      <w:r w:rsidR="00F13D85">
        <w:rPr>
          <w:rFonts w:ascii="Arial" w:hAnsi="Arial" w:cs="Arial"/>
          <w:lang w:eastAsia="ja-JP"/>
        </w:rPr>
        <w:t>2022</w:t>
      </w:r>
      <w:r w:rsidR="00777868">
        <w:rPr>
          <w:rFonts w:ascii="Arial" w:hAnsi="Arial" w:cs="Arial"/>
          <w:lang w:eastAsia="ja-JP"/>
        </w:rPr>
        <w:t xml:space="preserve"> </w:t>
      </w:r>
      <w:r w:rsidR="00325164" w:rsidRPr="00B31A4B">
        <w:rPr>
          <w:rFonts w:ascii="Arial" w:hAnsi="Arial" w:cs="Arial"/>
          <w:lang w:eastAsia="ja-JP"/>
        </w:rPr>
        <w:t>beginning fund balances</w:t>
      </w:r>
      <w:r w:rsidR="00325164" w:rsidRPr="00DF7907">
        <w:rPr>
          <w:rFonts w:ascii="Arial" w:hAnsi="Arial" w:cs="Arial"/>
          <w:lang w:eastAsia="ja-JP"/>
        </w:rPr>
        <w:t xml:space="preserve"> </w:t>
      </w:r>
      <w:r w:rsidR="005F43A6">
        <w:rPr>
          <w:rFonts w:ascii="Arial" w:hAnsi="Arial" w:cs="Arial"/>
          <w:lang w:eastAsia="ja-JP"/>
        </w:rPr>
        <w:t xml:space="preserve">for </w:t>
      </w:r>
      <w:r w:rsidR="00DF7907" w:rsidRPr="005B1231">
        <w:rPr>
          <w:rFonts w:ascii="Arial" w:hAnsi="Arial" w:cs="Arial"/>
          <w:color w:val="FF0000"/>
          <w:lang w:eastAsia="ja-JP"/>
        </w:rPr>
        <w:t>[each fund]</w:t>
      </w:r>
      <w:r w:rsidR="00DF7907" w:rsidRPr="005B1231">
        <w:rPr>
          <w:rFonts w:ascii="Arial" w:hAnsi="Arial" w:cs="Arial"/>
          <w:b/>
          <w:i/>
          <w:color w:val="17365D" w:themeColor="text2" w:themeShade="BF"/>
          <w:vertAlign w:val="superscript"/>
          <w:lang w:eastAsia="ja-JP"/>
        </w:rPr>
        <w:endnoteReference w:id="7"/>
      </w:r>
      <w:r w:rsidR="00DF7907" w:rsidRPr="005B1231">
        <w:rPr>
          <w:rFonts w:ascii="Arial" w:hAnsi="Arial" w:cs="Arial"/>
          <w:color w:val="FF0000"/>
          <w:lang w:eastAsia="ja-JP"/>
        </w:rPr>
        <w:t xml:space="preserve"> </w:t>
      </w:r>
      <w:r w:rsidR="00325164" w:rsidRPr="00B31A4B">
        <w:rPr>
          <w:rFonts w:ascii="Arial" w:hAnsi="Arial" w:cs="Arial"/>
          <w:lang w:eastAsia="ja-JP"/>
        </w:rPr>
        <w:t xml:space="preserve">recorded in the </w:t>
      </w:r>
      <w:r w:rsidR="00325164" w:rsidRPr="00B31A4B">
        <w:rPr>
          <w:rFonts w:ascii="Arial" w:hAnsi="Arial" w:cs="Arial"/>
          <w:color w:val="FF0000"/>
          <w:lang w:eastAsia="ja-JP"/>
        </w:rPr>
        <w:t>[Fund Ledger Report]</w:t>
      </w:r>
      <w:r w:rsidR="00325164" w:rsidRPr="00B31A4B">
        <w:rPr>
          <w:rStyle w:val="EndnoteReference"/>
          <w:rFonts w:ascii="Arial" w:hAnsi="Arial" w:cs="Arial"/>
          <w:b/>
          <w:i/>
          <w:color w:val="002060"/>
          <w:lang w:eastAsia="ja-JP"/>
        </w:rPr>
        <w:endnoteReference w:id="8"/>
      </w:r>
      <w:r w:rsidR="00325164" w:rsidRPr="00B31A4B">
        <w:rPr>
          <w:rFonts w:ascii="Arial" w:hAnsi="Arial" w:cs="Arial"/>
          <w:lang w:eastAsia="ja-JP"/>
        </w:rPr>
        <w:t xml:space="preserve"> to the December 31, </w:t>
      </w:r>
      <w:r w:rsidR="00F13D85">
        <w:rPr>
          <w:rFonts w:ascii="Arial" w:hAnsi="Arial" w:cs="Arial"/>
          <w:lang w:eastAsia="ja-JP"/>
        </w:rPr>
        <w:t>2021</w:t>
      </w:r>
      <w:r w:rsidR="00777868">
        <w:rPr>
          <w:rFonts w:ascii="Arial" w:hAnsi="Arial" w:cs="Arial"/>
          <w:lang w:eastAsia="ja-JP"/>
        </w:rPr>
        <w:t xml:space="preserve"> </w:t>
      </w:r>
      <w:r w:rsidR="00325164" w:rsidRPr="00B31A4B">
        <w:rPr>
          <w:rFonts w:ascii="Arial" w:hAnsi="Arial" w:cs="Arial"/>
          <w:lang w:eastAsia="ja-JP"/>
        </w:rPr>
        <w:t xml:space="preserve">balances in the prior year </w:t>
      </w:r>
      <w:r w:rsidR="00325164" w:rsidRPr="00B31A4B">
        <w:rPr>
          <w:rFonts w:ascii="Arial" w:hAnsi="Arial" w:cs="Arial"/>
          <w:color w:val="FF0000"/>
          <w:lang w:eastAsia="ja-JP"/>
        </w:rPr>
        <w:t>[</w:t>
      </w:r>
      <w:r w:rsidR="00325164" w:rsidRPr="00B31A4B">
        <w:rPr>
          <w:rFonts w:ascii="Arial" w:hAnsi="Arial" w:cs="Arial"/>
          <w:lang w:eastAsia="ja-JP"/>
        </w:rPr>
        <w:t>audited statements</w:t>
      </w:r>
      <w:r w:rsidR="00325164" w:rsidRPr="00B31A4B">
        <w:rPr>
          <w:rFonts w:ascii="Arial" w:hAnsi="Arial" w:cs="Arial"/>
          <w:color w:val="FF0000"/>
          <w:lang w:eastAsia="ja-JP"/>
        </w:rPr>
        <w:t>]</w:t>
      </w:r>
      <w:r w:rsidR="00325164" w:rsidRPr="00B31A4B">
        <w:rPr>
          <w:rFonts w:ascii="Arial" w:hAnsi="Arial" w:cs="Arial"/>
          <w:lang w:eastAsia="ja-JP"/>
        </w:rPr>
        <w:t xml:space="preserve"> </w:t>
      </w:r>
      <w:r w:rsidR="00325164" w:rsidRPr="00B31A4B">
        <w:rPr>
          <w:rFonts w:ascii="Arial" w:hAnsi="Arial" w:cs="Arial"/>
          <w:b/>
          <w:i/>
          <w:color w:val="002060"/>
          <w:lang w:eastAsia="ja-JP"/>
        </w:rPr>
        <w:t>OR</w:t>
      </w:r>
      <w:r w:rsidR="00325164" w:rsidRPr="00B31A4B">
        <w:rPr>
          <w:rFonts w:ascii="Arial" w:hAnsi="Arial" w:cs="Arial"/>
          <w:color w:val="FF0000"/>
          <w:lang w:eastAsia="ja-JP"/>
        </w:rPr>
        <w:t xml:space="preserve"> [</w:t>
      </w:r>
      <w:r w:rsidR="00325164" w:rsidRPr="00B31A4B">
        <w:rPr>
          <w:rFonts w:ascii="Arial" w:hAnsi="Arial" w:cs="Arial"/>
          <w:lang w:eastAsia="ja-JP"/>
        </w:rPr>
        <w:t>documentation in the prior year Agreed-Upon Procedures working papers</w:t>
      </w:r>
      <w:r w:rsidR="00325164" w:rsidRPr="00B31A4B">
        <w:rPr>
          <w:rFonts w:ascii="Arial" w:hAnsi="Arial" w:cs="Arial"/>
          <w:color w:val="FF0000"/>
          <w:lang w:eastAsia="ja-JP"/>
        </w:rPr>
        <w:t>]</w:t>
      </w:r>
      <w:r w:rsidR="00325164" w:rsidRPr="00B31A4B">
        <w:rPr>
          <w:rFonts w:ascii="Arial" w:hAnsi="Arial" w:cs="Arial"/>
          <w:lang w:eastAsia="ja-JP"/>
        </w:rPr>
        <w:t xml:space="preserve">.  We found no exceptions.  We also agreed the January 1, </w:t>
      </w:r>
      <w:r w:rsidR="00F13D85">
        <w:rPr>
          <w:rFonts w:ascii="Arial" w:hAnsi="Arial" w:cs="Arial"/>
          <w:lang w:eastAsia="ja-JP"/>
        </w:rPr>
        <w:t>2023</w:t>
      </w:r>
      <w:r w:rsidR="00777868">
        <w:rPr>
          <w:rFonts w:ascii="Arial" w:hAnsi="Arial" w:cs="Arial"/>
          <w:lang w:eastAsia="ja-JP"/>
        </w:rPr>
        <w:t xml:space="preserve"> </w:t>
      </w:r>
      <w:r w:rsidR="00325164" w:rsidRPr="00B31A4B">
        <w:rPr>
          <w:rFonts w:ascii="Arial" w:hAnsi="Arial" w:cs="Arial"/>
          <w:lang w:eastAsia="ja-JP"/>
        </w:rPr>
        <w:t xml:space="preserve">beginning fund balances </w:t>
      </w:r>
      <w:r w:rsidR="00DF7907">
        <w:rPr>
          <w:rFonts w:ascii="Arial" w:hAnsi="Arial" w:cs="Arial"/>
          <w:lang w:eastAsia="ja-JP"/>
        </w:rPr>
        <w:t xml:space="preserve">for each fund </w:t>
      </w:r>
      <w:r w:rsidR="00325164" w:rsidRPr="00B31A4B">
        <w:rPr>
          <w:rFonts w:ascii="Arial" w:hAnsi="Arial" w:cs="Arial"/>
          <w:lang w:eastAsia="ja-JP"/>
        </w:rPr>
        <w:t xml:space="preserve">recorded in the </w:t>
      </w:r>
      <w:r w:rsidR="00325164" w:rsidRPr="00B31A4B">
        <w:rPr>
          <w:rFonts w:ascii="Arial" w:hAnsi="Arial" w:cs="Arial"/>
          <w:color w:val="FF0000"/>
          <w:lang w:eastAsia="ja-JP"/>
        </w:rPr>
        <w:t>[Fund Ledger Report]</w:t>
      </w:r>
      <w:r w:rsidR="00325164" w:rsidRPr="00B31A4B">
        <w:rPr>
          <w:rFonts w:ascii="Arial" w:hAnsi="Arial" w:cs="Arial"/>
          <w:lang w:eastAsia="ja-JP"/>
        </w:rPr>
        <w:t xml:space="preserve"> to the December 31, </w:t>
      </w:r>
      <w:r w:rsidR="00F13D85">
        <w:rPr>
          <w:rFonts w:ascii="Arial" w:hAnsi="Arial" w:cs="Arial"/>
          <w:lang w:eastAsia="ja-JP"/>
        </w:rPr>
        <w:t>2022</w:t>
      </w:r>
      <w:r w:rsidR="00777868">
        <w:rPr>
          <w:rFonts w:ascii="Arial" w:hAnsi="Arial" w:cs="Arial"/>
          <w:lang w:eastAsia="ja-JP"/>
        </w:rPr>
        <w:t xml:space="preserve"> </w:t>
      </w:r>
      <w:r w:rsidR="00325164" w:rsidRPr="00B31A4B">
        <w:rPr>
          <w:rFonts w:ascii="Arial" w:hAnsi="Arial" w:cs="Arial"/>
          <w:lang w:eastAsia="ja-JP"/>
        </w:rPr>
        <w:t xml:space="preserve">balances in the </w:t>
      </w:r>
      <w:r w:rsidR="00325164" w:rsidRPr="00B31A4B">
        <w:rPr>
          <w:rFonts w:ascii="Arial" w:hAnsi="Arial" w:cs="Arial"/>
          <w:color w:val="FF0000"/>
          <w:lang w:eastAsia="ja-JP"/>
        </w:rPr>
        <w:t>[Fund Ledger Report]</w:t>
      </w:r>
      <w:r w:rsidR="00325164" w:rsidRPr="00B31A4B">
        <w:rPr>
          <w:rFonts w:ascii="Arial" w:hAnsi="Arial" w:cs="Arial"/>
          <w:lang w:eastAsia="ja-JP"/>
        </w:rPr>
        <w:t>.  We found no exceptions.</w:t>
      </w:r>
    </w:p>
    <w:p w14:paraId="18B980B1" w14:textId="77777777" w:rsidR="000B4E8A" w:rsidRPr="000B4E8A" w:rsidRDefault="000B4E8A" w:rsidP="000B4E8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30"/>
        <w:jc w:val="both"/>
        <w:outlineLvl w:val="0"/>
        <w:rPr>
          <w:rFonts w:ascii="Arial" w:hAnsi="Arial" w:cs="Arial"/>
          <w:lang w:eastAsia="ja-JP"/>
        </w:rPr>
      </w:pPr>
    </w:p>
    <w:p w14:paraId="1284CE32" w14:textId="1A9E8B20" w:rsidR="00FD0898" w:rsidRPr="00B31A4B" w:rsidRDefault="00325164"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We agreed the</w:t>
      </w:r>
      <w:r w:rsidR="00753089" w:rsidRPr="00931E15">
        <w:rPr>
          <w:rFonts w:ascii="Arial" w:hAnsi="Arial" w:cs="Arial"/>
          <w:lang w:eastAsia="ja-JP"/>
        </w:rPr>
        <w:t xml:space="preserve"> </w:t>
      </w:r>
      <w:r w:rsidR="00F13D85">
        <w:rPr>
          <w:rFonts w:ascii="Arial" w:hAnsi="Arial" w:cs="Arial"/>
          <w:lang w:eastAsia="ja-JP"/>
        </w:rPr>
        <w:t>2023</w:t>
      </w:r>
      <w:r w:rsidR="00753089" w:rsidRPr="00931E15">
        <w:rPr>
          <w:rFonts w:ascii="Arial" w:hAnsi="Arial" w:cs="Arial"/>
          <w:lang w:eastAsia="ja-JP"/>
        </w:rPr>
        <w:t xml:space="preserve"> and </w:t>
      </w:r>
      <w:r w:rsidR="00F13D85">
        <w:rPr>
          <w:rFonts w:ascii="Arial" w:hAnsi="Arial" w:cs="Arial"/>
          <w:lang w:eastAsia="ja-JP"/>
        </w:rPr>
        <w:t>2022</w:t>
      </w:r>
      <w:r w:rsidR="00753089" w:rsidRPr="00931E15">
        <w:rPr>
          <w:rFonts w:ascii="Arial" w:hAnsi="Arial" w:cs="Arial"/>
          <w:lang w:eastAsia="ja-JP"/>
        </w:rPr>
        <w:t xml:space="preserve"> bank reconciliation </w:t>
      </w:r>
      <w:r w:rsidR="00753089" w:rsidRPr="00931E15">
        <w:rPr>
          <w:rFonts w:ascii="Arial" w:hAnsi="Arial" w:cs="Arial"/>
          <w:color w:val="FF0000"/>
          <w:lang w:eastAsia="ja-JP"/>
        </w:rPr>
        <w:t xml:space="preserve">[adjusted UAN Balances and Adjusted Bank Balances] </w:t>
      </w:r>
      <w:r w:rsidR="00753089" w:rsidRPr="00931E15">
        <w:rPr>
          <w:rFonts w:ascii="Arial" w:hAnsi="Arial" w:cs="Arial"/>
          <w:lang w:eastAsia="ja-JP"/>
        </w:rPr>
        <w:t xml:space="preserve">as of December 31, </w:t>
      </w:r>
      <w:r w:rsidR="00F13D85">
        <w:rPr>
          <w:rFonts w:ascii="Arial" w:hAnsi="Arial" w:cs="Arial"/>
          <w:lang w:eastAsia="ja-JP"/>
        </w:rPr>
        <w:t>2023</w:t>
      </w:r>
      <w:r w:rsidR="00753089" w:rsidRPr="00931E15">
        <w:rPr>
          <w:rFonts w:ascii="Arial" w:hAnsi="Arial" w:cs="Arial"/>
          <w:lang w:eastAsia="ja-JP"/>
        </w:rPr>
        <w:t xml:space="preserve"> and </w:t>
      </w:r>
      <w:r w:rsidR="00F13D85">
        <w:rPr>
          <w:rFonts w:ascii="Arial" w:hAnsi="Arial" w:cs="Arial"/>
          <w:lang w:eastAsia="ja-JP"/>
        </w:rPr>
        <w:t>2022</w:t>
      </w:r>
      <w:r w:rsidR="00753089" w:rsidRPr="00931E15">
        <w:rPr>
          <w:rFonts w:ascii="Arial" w:hAnsi="Arial" w:cs="Arial"/>
          <w:lang w:eastAsia="ja-JP"/>
        </w:rPr>
        <w:t xml:space="preserve"> </w:t>
      </w:r>
      <w:r w:rsidRPr="00B31A4B">
        <w:rPr>
          <w:rFonts w:ascii="Arial" w:hAnsi="Arial" w:cs="Arial"/>
          <w:lang w:eastAsia="ja-JP"/>
        </w:rPr>
        <w:t xml:space="preserve">to the total fund cash balances reported in the </w:t>
      </w:r>
      <w:r w:rsidRPr="00B31A4B">
        <w:rPr>
          <w:rFonts w:ascii="Arial" w:hAnsi="Arial" w:cs="Arial"/>
          <w:color w:val="FF0000"/>
          <w:lang w:eastAsia="ja-JP"/>
        </w:rPr>
        <w:t>[Fund Status Report]</w:t>
      </w:r>
      <w:r w:rsidRPr="00B31A4B">
        <w:rPr>
          <w:rFonts w:ascii="Arial" w:hAnsi="Arial" w:cs="Arial"/>
          <w:lang w:eastAsia="ja-JP"/>
        </w:rPr>
        <w:t>.  The amounts agreed.</w:t>
      </w:r>
    </w:p>
    <w:p w14:paraId="0BE70339" w14:textId="77777777" w:rsidR="00FD0898" w:rsidRPr="00B31A4B" w:rsidRDefault="00FD0898" w:rsidP="00B31A4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87357E2" w14:textId="6D264A1C" w:rsidR="00FD0898" w:rsidRPr="00B31A4B"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lastRenderedPageBreak/>
        <w:t xml:space="preserve">We confirmed the December 31, </w:t>
      </w:r>
      <w:r w:rsidR="00F13D85">
        <w:rPr>
          <w:rFonts w:ascii="Arial" w:hAnsi="Arial" w:cs="Arial"/>
          <w:lang w:eastAsia="ja-JP"/>
        </w:rPr>
        <w:t>2023</w:t>
      </w:r>
      <w:r w:rsidR="00777868">
        <w:rPr>
          <w:rFonts w:ascii="Arial" w:hAnsi="Arial" w:cs="Arial"/>
          <w:lang w:eastAsia="ja-JP"/>
        </w:rPr>
        <w:t xml:space="preserve"> </w:t>
      </w:r>
      <w:r w:rsidR="00325164" w:rsidRPr="00B31A4B">
        <w:rPr>
          <w:rFonts w:ascii="Arial" w:hAnsi="Arial" w:cs="Arial"/>
          <w:lang w:eastAsia="ja-JP"/>
        </w:rPr>
        <w:t>bank</w:t>
      </w:r>
      <w:r w:rsidR="00325164" w:rsidRPr="00B31A4B">
        <w:rPr>
          <w:rFonts w:ascii="Arial" w:hAnsi="Arial" w:cs="Arial"/>
          <w:i/>
          <w:color w:val="FF0000"/>
          <w:lang w:eastAsia="ja-JP"/>
        </w:rPr>
        <w:t xml:space="preserve"> </w:t>
      </w:r>
      <w:r w:rsidR="00325164" w:rsidRPr="00B31A4B">
        <w:rPr>
          <w:rFonts w:ascii="Arial" w:hAnsi="Arial" w:cs="Arial"/>
          <w:lang w:eastAsia="ja-JP"/>
        </w:rPr>
        <w:t>account balance</w:t>
      </w:r>
      <w:r w:rsidR="00325164" w:rsidRPr="00B31A4B">
        <w:rPr>
          <w:rFonts w:ascii="Arial" w:hAnsi="Arial" w:cs="Arial"/>
          <w:color w:val="FF0000"/>
          <w:lang w:eastAsia="ja-JP"/>
        </w:rPr>
        <w:t>(s)</w:t>
      </w:r>
      <w:r w:rsidR="007A4792" w:rsidRPr="00B31A4B">
        <w:rPr>
          <w:rFonts w:ascii="Arial" w:hAnsi="Arial" w:cs="Arial"/>
          <w:lang w:eastAsia="ja-JP"/>
        </w:rPr>
        <w:t xml:space="preserve"> with </w:t>
      </w:r>
      <w:r w:rsidR="00EF44E9" w:rsidRPr="00E43C4C">
        <w:rPr>
          <w:rFonts w:ascii="Arial" w:hAnsi="Arial" w:cs="Arial"/>
          <w:color w:val="FF0000"/>
          <w:lang w:eastAsia="ja-JP"/>
        </w:rPr>
        <w:t>[</w:t>
      </w:r>
      <w:r w:rsidR="007A4792" w:rsidRPr="00E43C4C">
        <w:rPr>
          <w:rFonts w:ascii="Arial" w:hAnsi="Arial" w:cs="Arial"/>
          <w:color w:val="FF0000"/>
          <w:lang w:eastAsia="ja-JP"/>
        </w:rPr>
        <w:t>the Bureau</w:t>
      </w:r>
      <w:r w:rsidRPr="00E43C4C">
        <w:rPr>
          <w:rFonts w:ascii="Arial" w:hAnsi="Arial" w:cs="Arial"/>
          <w:color w:val="FF0000"/>
          <w:lang w:eastAsia="ja-JP"/>
        </w:rPr>
        <w:t>’s financial institution</w:t>
      </w:r>
      <w:r w:rsidR="00325164" w:rsidRPr="00EF44E9">
        <w:rPr>
          <w:rFonts w:ascii="Arial" w:hAnsi="Arial" w:cs="Arial"/>
          <w:color w:val="FF0000"/>
          <w:lang w:eastAsia="ja-JP"/>
        </w:rPr>
        <w:t>(s</w:t>
      </w:r>
      <w:r w:rsidR="00EF44E9" w:rsidRPr="00EF44E9">
        <w:rPr>
          <w:rFonts w:ascii="Arial" w:hAnsi="Arial" w:cs="Arial"/>
          <w:color w:val="FF0000"/>
          <w:lang w:eastAsia="ja-JP"/>
        </w:rPr>
        <w:t xml:space="preserve">), </w:t>
      </w:r>
      <w:bookmarkStart w:id="0" w:name="_Hlk120803216"/>
      <w:r w:rsidR="00EF44E9" w:rsidRPr="00EF44E9">
        <w:rPr>
          <w:rFonts w:ascii="Arial" w:hAnsi="Arial" w:cs="Arial"/>
          <w:color w:val="FF0000"/>
          <w:lang w:eastAsia="ja-JP"/>
        </w:rPr>
        <w:t xml:space="preserve">Ohio </w:t>
      </w:r>
      <w:r w:rsidR="00EF44E9" w:rsidRPr="00033C8C">
        <w:rPr>
          <w:rFonts w:ascii="Arial" w:hAnsi="Arial" w:cs="Arial"/>
          <w:color w:val="FF0000"/>
          <w:lang w:eastAsia="ja-JP"/>
        </w:rPr>
        <w:t>Pooled Collateral System</w:t>
      </w:r>
      <w:r w:rsidR="00EF44E9">
        <w:rPr>
          <w:rFonts w:ascii="Arial" w:hAnsi="Arial" w:cs="Arial"/>
          <w:color w:val="FF0000"/>
          <w:lang w:eastAsia="ja-JP"/>
        </w:rPr>
        <w:t xml:space="preserve">, Confirmation.com] </w:t>
      </w:r>
      <w:r w:rsidR="00EF44E9" w:rsidRPr="00033C8C">
        <w:rPr>
          <w:rFonts w:ascii="Arial" w:hAnsi="Arial" w:cs="Arial"/>
          <w:b/>
          <w:bCs/>
          <w:i/>
          <w:iCs/>
          <w:color w:val="002161"/>
          <w:lang w:eastAsia="ja-JP"/>
        </w:rPr>
        <w:t>&lt;&lt;&lt;modify as needed]</w:t>
      </w:r>
      <w:r w:rsidR="00EF44E9" w:rsidRPr="00FC5328">
        <w:rPr>
          <w:rFonts w:ascii="Arial" w:hAnsi="Arial" w:cs="Arial"/>
          <w:lang w:eastAsia="ja-JP"/>
        </w:rPr>
        <w:t xml:space="preserve">. </w:t>
      </w:r>
      <w:bookmarkEnd w:id="0"/>
      <w:r w:rsidR="00325164" w:rsidRPr="00B31A4B">
        <w:rPr>
          <w:rFonts w:ascii="Arial" w:hAnsi="Arial" w:cs="Arial"/>
          <w:lang w:eastAsia="ja-JP"/>
        </w:rPr>
        <w:t xml:space="preserve"> </w:t>
      </w:r>
      <w:r w:rsidR="00325164" w:rsidRPr="00B31A4B">
        <w:rPr>
          <w:rFonts w:ascii="Arial" w:hAnsi="Arial" w:cs="Arial"/>
          <w:color w:val="FF0000"/>
          <w:lang w:eastAsia="ja-JP"/>
        </w:rPr>
        <w:t>[</w:t>
      </w:r>
      <w:r w:rsidR="00325164" w:rsidRPr="00B31A4B">
        <w:rPr>
          <w:rFonts w:ascii="Arial" w:hAnsi="Arial" w:cs="Arial"/>
          <w:lang w:eastAsia="ja-JP"/>
        </w:rPr>
        <w:t>We found no exceptions.</w:t>
      </w:r>
      <w:r w:rsidR="00325164" w:rsidRPr="00B31A4B">
        <w:rPr>
          <w:rFonts w:ascii="Arial" w:hAnsi="Arial" w:cs="Arial"/>
          <w:color w:val="FF0000"/>
          <w:lang w:eastAsia="ja-JP"/>
        </w:rPr>
        <w:t>]</w:t>
      </w:r>
      <w:r w:rsidR="00325164" w:rsidRPr="00B31A4B">
        <w:rPr>
          <w:rFonts w:ascii="Arial" w:hAnsi="Arial" w:cs="Arial"/>
          <w:lang w:eastAsia="ja-JP"/>
        </w:rPr>
        <w:t xml:space="preserve"> </w:t>
      </w:r>
      <w:r w:rsidR="00325164" w:rsidRPr="00B31A4B">
        <w:rPr>
          <w:rFonts w:ascii="Arial" w:hAnsi="Arial" w:cs="Arial"/>
          <w:b/>
          <w:i/>
          <w:color w:val="002060"/>
          <w:lang w:eastAsia="ja-JP"/>
        </w:rPr>
        <w:t>OR</w:t>
      </w:r>
      <w:r w:rsidR="00325164" w:rsidRPr="00B31A4B">
        <w:rPr>
          <w:rFonts w:ascii="Arial" w:hAnsi="Arial" w:cs="Arial"/>
          <w:lang w:eastAsia="ja-JP"/>
        </w:rPr>
        <w:t xml:space="preserve"> </w:t>
      </w:r>
      <w:r w:rsidR="00325164" w:rsidRPr="00B31A4B">
        <w:rPr>
          <w:rFonts w:ascii="Arial" w:hAnsi="Arial" w:cs="Arial"/>
          <w:color w:val="FF0000"/>
          <w:lang w:eastAsia="ja-JP"/>
        </w:rPr>
        <w:t>[</w:t>
      </w:r>
      <w:r w:rsidR="00325164" w:rsidRPr="00B31A4B">
        <w:rPr>
          <w:rFonts w:ascii="Arial" w:hAnsi="Arial" w:cs="Arial"/>
          <w:lang w:eastAsia="ja-JP"/>
        </w:rPr>
        <w:t>We observed the year-end bank balance</w:t>
      </w:r>
      <w:r w:rsidR="00325164" w:rsidRPr="00B31A4B">
        <w:rPr>
          <w:rFonts w:ascii="Arial" w:hAnsi="Arial" w:cs="Arial"/>
          <w:color w:val="FF0000"/>
          <w:lang w:eastAsia="ja-JP"/>
        </w:rPr>
        <w:t>(s)</w:t>
      </w:r>
      <w:r w:rsidR="00325164" w:rsidRPr="00B31A4B">
        <w:rPr>
          <w:rFonts w:ascii="Arial" w:hAnsi="Arial" w:cs="Arial"/>
          <w:lang w:eastAsia="ja-JP"/>
        </w:rPr>
        <w:t xml:space="preserve"> on the financial institution’s website.  The balance</w:t>
      </w:r>
      <w:r w:rsidR="00325164" w:rsidRPr="00B31A4B">
        <w:rPr>
          <w:rFonts w:ascii="Arial" w:hAnsi="Arial" w:cs="Arial"/>
          <w:color w:val="FF0000"/>
          <w:lang w:eastAsia="ja-JP"/>
        </w:rPr>
        <w:t>(s)</w:t>
      </w:r>
      <w:r w:rsidR="00325164" w:rsidRPr="00B31A4B">
        <w:rPr>
          <w:rFonts w:ascii="Arial" w:hAnsi="Arial" w:cs="Arial"/>
          <w:lang w:eastAsia="ja-JP"/>
        </w:rPr>
        <w:t xml:space="preserve"> agreed.</w:t>
      </w:r>
      <w:r w:rsidR="00325164" w:rsidRPr="00B31A4B">
        <w:rPr>
          <w:rFonts w:ascii="Arial" w:hAnsi="Arial" w:cs="Arial"/>
          <w:color w:val="FF0000"/>
          <w:lang w:eastAsia="ja-JP"/>
        </w:rPr>
        <w:t>]</w:t>
      </w:r>
      <w:r w:rsidR="00325164" w:rsidRPr="00B31A4B">
        <w:rPr>
          <w:rFonts w:ascii="Arial" w:hAnsi="Arial" w:cs="Arial"/>
          <w:lang w:eastAsia="ja-JP"/>
        </w:rPr>
        <w:t xml:space="preserve">  We also agreed the confirmed balances to the amounts appearing in the December 31</w:t>
      </w:r>
      <w:r w:rsidR="00931E15" w:rsidRPr="00B31A4B">
        <w:rPr>
          <w:rFonts w:ascii="Arial" w:hAnsi="Arial" w:cs="Arial"/>
          <w:lang w:eastAsia="ja-JP"/>
        </w:rPr>
        <w:t xml:space="preserve">, </w:t>
      </w:r>
      <w:r w:rsidR="00F13D85">
        <w:rPr>
          <w:rFonts w:ascii="Arial" w:hAnsi="Arial" w:cs="Arial"/>
          <w:lang w:eastAsia="ja-JP"/>
        </w:rPr>
        <w:t>2023</w:t>
      </w:r>
      <w:r w:rsidR="00777868">
        <w:rPr>
          <w:rFonts w:ascii="Arial" w:hAnsi="Arial" w:cs="Arial"/>
          <w:lang w:eastAsia="ja-JP"/>
        </w:rPr>
        <w:t xml:space="preserve"> </w:t>
      </w:r>
      <w:r w:rsidR="00325164" w:rsidRPr="00B31A4B">
        <w:rPr>
          <w:rFonts w:ascii="Arial" w:hAnsi="Arial" w:cs="Arial"/>
          <w:lang w:eastAsia="ja-JP"/>
        </w:rPr>
        <w:t>bank reconciliation without exception.</w:t>
      </w:r>
    </w:p>
    <w:p w14:paraId="3BFF3917" w14:textId="77777777" w:rsidR="00FD0898" w:rsidRPr="00B31A4B" w:rsidRDefault="00FD0898" w:rsidP="00B31A4B">
      <w:pPr>
        <w:pStyle w:val="ListParagraph"/>
        <w:jc w:val="both"/>
        <w:rPr>
          <w:rFonts w:ascii="Arial" w:hAnsi="Arial" w:cs="Arial"/>
          <w:lang w:eastAsia="ja-JP"/>
        </w:rPr>
      </w:pPr>
    </w:p>
    <w:p w14:paraId="493E05D7" w14:textId="15935DC6" w:rsidR="00FD0898" w:rsidRPr="00B31A4B"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selected </w:t>
      </w:r>
      <w:r w:rsidR="00F13D85">
        <w:rPr>
          <w:rFonts w:ascii="Arial" w:hAnsi="Arial" w:cs="Arial"/>
          <w:lang w:eastAsia="ja-JP"/>
        </w:rPr>
        <w:t>5</w:t>
      </w:r>
      <w:r w:rsidR="00F13D85" w:rsidRPr="00B31A4B">
        <w:rPr>
          <w:rFonts w:ascii="Arial" w:hAnsi="Arial" w:cs="Arial"/>
          <w:lang w:eastAsia="ja-JP"/>
        </w:rPr>
        <w:t xml:space="preserve"> </w:t>
      </w:r>
      <w:r w:rsidRPr="00B31A4B">
        <w:rPr>
          <w:rFonts w:ascii="Arial" w:hAnsi="Arial" w:cs="Arial"/>
          <w:lang w:eastAsia="ja-JP"/>
        </w:rPr>
        <w:t>reconciling debits (such as outstanding checks) from the December 31,</w:t>
      </w:r>
      <w:r w:rsidR="00777868">
        <w:rPr>
          <w:rFonts w:ascii="Arial" w:hAnsi="Arial" w:cs="Arial"/>
          <w:lang w:eastAsia="ja-JP"/>
        </w:rPr>
        <w:t xml:space="preserve"> </w:t>
      </w:r>
      <w:r w:rsidR="00F13D85">
        <w:rPr>
          <w:rFonts w:ascii="Arial" w:hAnsi="Arial" w:cs="Arial"/>
          <w:lang w:eastAsia="ja-JP"/>
        </w:rPr>
        <w:t>2023</w:t>
      </w:r>
      <w:r w:rsidR="00777868">
        <w:rPr>
          <w:rFonts w:ascii="Arial" w:hAnsi="Arial" w:cs="Arial"/>
          <w:lang w:eastAsia="ja-JP"/>
        </w:rPr>
        <w:t xml:space="preserve"> </w:t>
      </w:r>
      <w:r w:rsidR="00325164" w:rsidRPr="00B31A4B">
        <w:rPr>
          <w:rFonts w:ascii="Arial" w:hAnsi="Arial" w:cs="Arial"/>
          <w:lang w:eastAsia="ja-JP"/>
        </w:rPr>
        <w:t xml:space="preserve">bank reconciliation: </w:t>
      </w:r>
      <w:r w:rsidR="00325164" w:rsidRPr="00B31A4B">
        <w:rPr>
          <w:rFonts w:ascii="Arial" w:hAnsi="Arial" w:cs="Arial"/>
          <w:b/>
          <w:i/>
          <w:color w:val="002060"/>
          <w:lang w:eastAsia="ja-JP"/>
        </w:rPr>
        <w:t>[Delete this step if there were no reconciling debits]</w:t>
      </w:r>
    </w:p>
    <w:p w14:paraId="6B72E4D1" w14:textId="77777777" w:rsidR="00FD0898" w:rsidRPr="00B31A4B" w:rsidRDefault="00325164" w:rsidP="00B31A4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traced each debit to the subsequent January and February </w:t>
      </w:r>
      <w:r w:rsidRPr="00B31A4B">
        <w:rPr>
          <w:rFonts w:ascii="Arial" w:hAnsi="Arial" w:cs="Arial"/>
          <w:b/>
          <w:i/>
          <w:color w:val="002060"/>
          <w:lang w:eastAsia="ja-JP"/>
        </w:rPr>
        <w:t>[List only the months they cleared]</w:t>
      </w:r>
      <w:r w:rsidRPr="00B31A4B">
        <w:rPr>
          <w:rFonts w:ascii="Arial" w:hAnsi="Arial" w:cs="Arial"/>
          <w:lang w:eastAsia="ja-JP"/>
        </w:rPr>
        <w:t xml:space="preserve"> </w:t>
      </w:r>
      <w:r w:rsidRPr="00B31A4B">
        <w:rPr>
          <w:rFonts w:ascii="Arial" w:hAnsi="Arial" w:cs="Arial"/>
          <w:color w:val="FF0000"/>
          <w:lang w:eastAsia="ja-JP"/>
        </w:rPr>
        <w:t>[</w:t>
      </w:r>
      <w:r w:rsidRPr="00B31A4B">
        <w:rPr>
          <w:rFonts w:ascii="Arial" w:hAnsi="Arial" w:cs="Arial"/>
          <w:lang w:eastAsia="ja-JP"/>
        </w:rPr>
        <w:t>bank statement</w:t>
      </w:r>
      <w:r w:rsidRPr="00B31A4B">
        <w:rPr>
          <w:rFonts w:ascii="Arial" w:hAnsi="Arial" w:cs="Arial"/>
          <w:color w:val="FF0000"/>
          <w:lang w:eastAsia="ja-JP"/>
        </w:rPr>
        <w:t>(s)]</w:t>
      </w:r>
      <w:r w:rsidRPr="00B31A4B">
        <w:rPr>
          <w:rFonts w:ascii="Arial" w:hAnsi="Arial" w:cs="Arial"/>
          <w:lang w:eastAsia="ja-JP"/>
        </w:rPr>
        <w:t xml:space="preserve"> </w:t>
      </w:r>
      <w:r w:rsidRPr="00B31A4B">
        <w:rPr>
          <w:rFonts w:ascii="Arial" w:hAnsi="Arial" w:cs="Arial"/>
          <w:b/>
          <w:i/>
          <w:color w:val="002060"/>
          <w:lang w:eastAsia="ja-JP"/>
        </w:rPr>
        <w:t>OR</w:t>
      </w:r>
      <w:r w:rsidRPr="00B31A4B">
        <w:rPr>
          <w:rFonts w:ascii="Arial" w:hAnsi="Arial" w:cs="Arial"/>
          <w:i/>
          <w:color w:val="FF0000"/>
          <w:lang w:eastAsia="ja-JP"/>
        </w:rPr>
        <w:t xml:space="preserve"> </w:t>
      </w:r>
      <w:r w:rsidRPr="00B31A4B">
        <w:rPr>
          <w:rFonts w:ascii="Arial" w:hAnsi="Arial" w:cs="Arial"/>
          <w:color w:val="FF0000"/>
          <w:lang w:eastAsia="ja-JP"/>
        </w:rPr>
        <w:t>[</w:t>
      </w:r>
      <w:r w:rsidRPr="00B31A4B">
        <w:rPr>
          <w:rFonts w:ascii="Arial" w:hAnsi="Arial" w:cs="Arial"/>
          <w:lang w:eastAsia="ja-JP"/>
        </w:rPr>
        <w:t>financial institutions website</w:t>
      </w:r>
      <w:r w:rsidR="001A3B3B" w:rsidRPr="00B31A4B">
        <w:rPr>
          <w:rFonts w:ascii="Arial" w:hAnsi="Arial" w:cs="Arial"/>
          <w:lang w:eastAsia="ja-JP"/>
        </w:rPr>
        <w:t xml:space="preserve"> transaction listing</w:t>
      </w:r>
      <w:r w:rsidRPr="00B31A4B">
        <w:rPr>
          <w:rFonts w:ascii="Arial" w:hAnsi="Arial" w:cs="Arial"/>
          <w:color w:val="FF0000"/>
          <w:lang w:eastAsia="ja-JP"/>
        </w:rPr>
        <w:t>]</w:t>
      </w:r>
      <w:r w:rsidRPr="00B31A4B">
        <w:rPr>
          <w:rFonts w:ascii="Arial" w:hAnsi="Arial" w:cs="Arial"/>
          <w:lang w:eastAsia="ja-JP"/>
        </w:rPr>
        <w:t>.  We found no exceptions.</w:t>
      </w:r>
    </w:p>
    <w:p w14:paraId="31C10C5B" w14:textId="4CF770C5" w:rsidR="00FD0898" w:rsidRPr="00B31A4B" w:rsidRDefault="00FD0898" w:rsidP="00B31A4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We traced the amounts and dates to the check register</w:t>
      </w:r>
      <w:r w:rsidR="00A6127B">
        <w:rPr>
          <w:rFonts w:ascii="Arial" w:hAnsi="Arial" w:cs="Arial"/>
          <w:lang w:eastAsia="ja-JP"/>
        </w:rPr>
        <w:t xml:space="preserve"> and</w:t>
      </w:r>
      <w:r w:rsidRPr="00B31A4B">
        <w:rPr>
          <w:rFonts w:ascii="Arial" w:hAnsi="Arial" w:cs="Arial"/>
          <w:lang w:eastAsia="ja-JP"/>
        </w:rPr>
        <w:t xml:space="preserve"> determine</w:t>
      </w:r>
      <w:r w:rsidR="00A6127B">
        <w:rPr>
          <w:rFonts w:ascii="Arial" w:hAnsi="Arial" w:cs="Arial"/>
          <w:lang w:eastAsia="ja-JP"/>
        </w:rPr>
        <w:t>d</w:t>
      </w:r>
      <w:r w:rsidRPr="00B31A4B">
        <w:rPr>
          <w:rFonts w:ascii="Arial" w:hAnsi="Arial" w:cs="Arial"/>
          <w:lang w:eastAsia="ja-JP"/>
        </w:rPr>
        <w:t xml:space="preserve"> the debits were dated prior to December 31.  </w:t>
      </w:r>
      <w:r w:rsidR="00043FC5">
        <w:rPr>
          <w:rFonts w:ascii="Arial" w:hAnsi="Arial" w:cs="Arial"/>
          <w:lang w:eastAsia="ja-JP"/>
        </w:rPr>
        <w:t xml:space="preserve">We found </w:t>
      </w:r>
      <w:r w:rsidRPr="00B31A4B">
        <w:rPr>
          <w:rFonts w:ascii="Arial" w:hAnsi="Arial" w:cs="Arial"/>
          <w:lang w:eastAsia="ja-JP"/>
        </w:rPr>
        <w:t xml:space="preserve">no exceptions.   </w:t>
      </w:r>
    </w:p>
    <w:p w14:paraId="5603BE39" w14:textId="77777777" w:rsidR="00FD0898" w:rsidRPr="00B31A4B" w:rsidRDefault="00FD0898" w:rsidP="00B31A4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8A56F44" w14:textId="79E3DDB0" w:rsidR="00FD0898" w:rsidRPr="00B31A4B"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selected </w:t>
      </w:r>
      <w:r w:rsidR="00F13D85">
        <w:rPr>
          <w:rFonts w:ascii="Arial" w:hAnsi="Arial" w:cs="Arial"/>
          <w:lang w:eastAsia="ja-JP"/>
        </w:rPr>
        <w:t>5</w:t>
      </w:r>
      <w:r w:rsidR="00F13D85" w:rsidRPr="00B31A4B">
        <w:rPr>
          <w:rFonts w:ascii="Arial" w:hAnsi="Arial" w:cs="Arial"/>
          <w:lang w:eastAsia="ja-JP"/>
        </w:rPr>
        <w:t xml:space="preserve"> </w:t>
      </w:r>
      <w:r w:rsidRPr="00B31A4B">
        <w:rPr>
          <w:rFonts w:ascii="Arial" w:hAnsi="Arial" w:cs="Arial"/>
          <w:lang w:eastAsia="ja-JP"/>
        </w:rPr>
        <w:t xml:space="preserve">reconciling credits (such as deposits in transit) from the December </w:t>
      </w:r>
      <w:r w:rsidR="00325164" w:rsidRPr="00B31A4B">
        <w:rPr>
          <w:rFonts w:ascii="Arial" w:hAnsi="Arial" w:cs="Arial"/>
          <w:lang w:eastAsia="ja-JP"/>
        </w:rPr>
        <w:t xml:space="preserve">31, </w:t>
      </w:r>
      <w:r w:rsidR="00F13D85">
        <w:rPr>
          <w:rFonts w:ascii="Arial" w:hAnsi="Arial" w:cs="Arial"/>
          <w:lang w:eastAsia="ja-JP"/>
        </w:rPr>
        <w:t>2023</w:t>
      </w:r>
      <w:r w:rsidR="00777868">
        <w:rPr>
          <w:rFonts w:ascii="Arial" w:hAnsi="Arial" w:cs="Arial"/>
          <w:lang w:eastAsia="ja-JP"/>
        </w:rPr>
        <w:t xml:space="preserve"> </w:t>
      </w:r>
      <w:r w:rsidR="00325164" w:rsidRPr="00B31A4B">
        <w:rPr>
          <w:rFonts w:ascii="Arial" w:hAnsi="Arial" w:cs="Arial"/>
          <w:lang w:eastAsia="ja-JP"/>
        </w:rPr>
        <w:t xml:space="preserve">bank reconciliation: </w:t>
      </w:r>
      <w:r w:rsidR="00325164" w:rsidRPr="00B31A4B">
        <w:rPr>
          <w:rFonts w:ascii="Arial" w:hAnsi="Arial" w:cs="Arial"/>
          <w:b/>
          <w:i/>
          <w:color w:val="002060"/>
          <w:lang w:eastAsia="ja-JP"/>
        </w:rPr>
        <w:t>[Delete this step if there were no reconciling credits]</w:t>
      </w:r>
    </w:p>
    <w:p w14:paraId="2DAA6663" w14:textId="77777777" w:rsidR="00FD0898" w:rsidRPr="00B31A4B" w:rsidRDefault="00325164" w:rsidP="00B31A4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traced each credit to the subsequent January or February </w:t>
      </w:r>
      <w:r w:rsidRPr="00B31A4B">
        <w:rPr>
          <w:rFonts w:ascii="Arial" w:hAnsi="Arial" w:cs="Arial"/>
          <w:b/>
          <w:i/>
          <w:color w:val="002060"/>
          <w:lang w:eastAsia="ja-JP"/>
        </w:rPr>
        <w:t>[List only the months they cleared]</w:t>
      </w:r>
      <w:r w:rsidRPr="00B31A4B">
        <w:rPr>
          <w:rFonts w:ascii="Arial" w:hAnsi="Arial" w:cs="Arial"/>
          <w:color w:val="002060"/>
          <w:lang w:eastAsia="ja-JP"/>
        </w:rPr>
        <w:t xml:space="preserve"> </w:t>
      </w:r>
      <w:r w:rsidRPr="00B31A4B">
        <w:rPr>
          <w:rFonts w:ascii="Arial" w:hAnsi="Arial" w:cs="Arial"/>
          <w:color w:val="FF0000"/>
          <w:lang w:eastAsia="ja-JP"/>
        </w:rPr>
        <w:t>[</w:t>
      </w:r>
      <w:r w:rsidRPr="00B31A4B">
        <w:rPr>
          <w:rFonts w:ascii="Arial" w:hAnsi="Arial" w:cs="Arial"/>
          <w:lang w:eastAsia="ja-JP"/>
        </w:rPr>
        <w:t>bank statement</w:t>
      </w:r>
      <w:r w:rsidRPr="00B31A4B">
        <w:rPr>
          <w:rFonts w:ascii="Arial" w:hAnsi="Arial" w:cs="Arial"/>
          <w:color w:val="FF0000"/>
          <w:lang w:eastAsia="ja-JP"/>
        </w:rPr>
        <w:t>(s)]</w:t>
      </w:r>
      <w:r w:rsidRPr="00B31A4B">
        <w:rPr>
          <w:rFonts w:ascii="Arial" w:hAnsi="Arial" w:cs="Arial"/>
          <w:lang w:eastAsia="ja-JP"/>
        </w:rPr>
        <w:t xml:space="preserve"> </w:t>
      </w:r>
      <w:r w:rsidRPr="00B31A4B">
        <w:rPr>
          <w:rFonts w:ascii="Arial" w:hAnsi="Arial" w:cs="Arial"/>
          <w:b/>
          <w:i/>
          <w:color w:val="002060"/>
          <w:lang w:eastAsia="ja-JP"/>
        </w:rPr>
        <w:t>OR</w:t>
      </w:r>
      <w:r w:rsidRPr="00B31A4B">
        <w:rPr>
          <w:rFonts w:ascii="Arial" w:hAnsi="Arial" w:cs="Arial"/>
          <w:i/>
          <w:color w:val="FF0000"/>
          <w:lang w:eastAsia="ja-JP"/>
        </w:rPr>
        <w:t xml:space="preserve"> </w:t>
      </w:r>
      <w:r w:rsidRPr="00B31A4B">
        <w:rPr>
          <w:rFonts w:ascii="Arial" w:hAnsi="Arial" w:cs="Arial"/>
          <w:color w:val="FF0000"/>
          <w:lang w:eastAsia="ja-JP"/>
        </w:rPr>
        <w:t>[</w:t>
      </w:r>
      <w:r w:rsidRPr="00B31A4B">
        <w:rPr>
          <w:rFonts w:ascii="Arial" w:hAnsi="Arial" w:cs="Arial"/>
          <w:lang w:eastAsia="ja-JP"/>
        </w:rPr>
        <w:t>financial institutions website</w:t>
      </w:r>
      <w:r w:rsidR="001A3B3B" w:rsidRPr="00B31A4B">
        <w:rPr>
          <w:rFonts w:ascii="Arial" w:hAnsi="Arial" w:cs="Arial"/>
          <w:lang w:eastAsia="ja-JP"/>
        </w:rPr>
        <w:t xml:space="preserve"> transaction listing</w:t>
      </w:r>
      <w:r w:rsidRPr="00B31A4B">
        <w:rPr>
          <w:rFonts w:ascii="Arial" w:hAnsi="Arial" w:cs="Arial"/>
          <w:color w:val="FF0000"/>
          <w:lang w:eastAsia="ja-JP"/>
        </w:rPr>
        <w:t>]</w:t>
      </w:r>
      <w:r w:rsidRPr="00B31A4B">
        <w:rPr>
          <w:rFonts w:ascii="Arial" w:hAnsi="Arial" w:cs="Arial"/>
          <w:lang w:eastAsia="ja-JP"/>
        </w:rPr>
        <w:t>.  We found no exceptions.</w:t>
      </w:r>
    </w:p>
    <w:p w14:paraId="7D269FE7" w14:textId="476F6741" w:rsidR="00FD0898" w:rsidRPr="000726BB" w:rsidRDefault="00325164" w:rsidP="000726BB">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agreed the credit amounts to the </w:t>
      </w:r>
      <w:r w:rsidRPr="00B31A4B">
        <w:rPr>
          <w:rFonts w:ascii="Arial" w:hAnsi="Arial" w:cs="Arial"/>
          <w:color w:val="FF0000"/>
          <w:lang w:eastAsia="ja-JP"/>
        </w:rPr>
        <w:t>[Receipts Register]</w:t>
      </w:r>
      <w:r w:rsidR="00A6127B">
        <w:rPr>
          <w:rFonts w:ascii="Arial" w:hAnsi="Arial" w:cs="Arial"/>
          <w:lang w:eastAsia="ja-JP"/>
        </w:rPr>
        <w:t xml:space="preserve"> </w:t>
      </w:r>
      <w:r w:rsidR="00A6127B" w:rsidRPr="000726BB">
        <w:rPr>
          <w:rFonts w:ascii="Arial" w:hAnsi="Arial" w:cs="Arial"/>
          <w:lang w:eastAsia="ja-JP"/>
        </w:rPr>
        <w:t xml:space="preserve">and determined they were dated prior to December 31.  </w:t>
      </w:r>
      <w:r w:rsidR="007A580B" w:rsidRPr="00121DD5">
        <w:rPr>
          <w:rFonts w:ascii="Arial" w:hAnsi="Arial" w:cs="Arial"/>
          <w:lang w:eastAsia="ja-JP"/>
        </w:rPr>
        <w:t>We found no exceptions.</w:t>
      </w:r>
    </w:p>
    <w:p w14:paraId="4DD16D1C" w14:textId="77777777" w:rsidR="00FD0898" w:rsidRPr="00B31A4B" w:rsidRDefault="00FD0898" w:rsidP="00B31A4B">
      <w:pPr>
        <w:pStyle w:val="ListParagraph"/>
        <w:jc w:val="both"/>
        <w:rPr>
          <w:rFonts w:ascii="Arial" w:hAnsi="Arial" w:cs="Arial"/>
          <w:lang w:eastAsia="ja-JP"/>
        </w:rPr>
      </w:pPr>
    </w:p>
    <w:p w14:paraId="76539F50" w14:textId="0904267B" w:rsidR="00FD0898" w:rsidRPr="00B31A4B"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inspected the </w:t>
      </w:r>
      <w:r w:rsidR="00325164" w:rsidRPr="00B31A4B">
        <w:rPr>
          <w:rFonts w:ascii="Arial" w:hAnsi="Arial" w:cs="Arial"/>
          <w:color w:val="FF0000"/>
          <w:lang w:eastAsia="ja-JP"/>
        </w:rPr>
        <w:t>[Fund Status Report]</w:t>
      </w:r>
      <w:r w:rsidR="00325164" w:rsidRPr="00B31A4B">
        <w:rPr>
          <w:rFonts w:ascii="Arial" w:hAnsi="Arial" w:cs="Arial"/>
          <w:lang w:eastAsia="ja-JP"/>
        </w:rPr>
        <w:t xml:space="preserve"> to determine whether the Finding</w:t>
      </w:r>
      <w:r w:rsidR="00325164" w:rsidRPr="00B31A4B">
        <w:rPr>
          <w:rFonts w:ascii="Arial" w:hAnsi="Arial" w:cs="Arial"/>
          <w:color w:val="FF0000"/>
          <w:lang w:eastAsia="ja-JP"/>
        </w:rPr>
        <w:t xml:space="preserve">(s) </w:t>
      </w:r>
      <w:r w:rsidR="00325164" w:rsidRPr="00B31A4B">
        <w:rPr>
          <w:rFonts w:ascii="Arial" w:hAnsi="Arial" w:cs="Arial"/>
          <w:lang w:eastAsia="ja-JP"/>
        </w:rPr>
        <w:t xml:space="preserve">For Adjustment identified in the prior </w:t>
      </w:r>
      <w:r w:rsidR="00325164" w:rsidRPr="00B31A4B">
        <w:rPr>
          <w:rFonts w:ascii="Arial" w:hAnsi="Arial" w:cs="Arial"/>
          <w:color w:val="FF0000"/>
          <w:lang w:eastAsia="ja-JP"/>
        </w:rPr>
        <w:t>[</w:t>
      </w:r>
      <w:r w:rsidR="00325164" w:rsidRPr="00B31A4B">
        <w:rPr>
          <w:rFonts w:ascii="Arial" w:hAnsi="Arial" w:cs="Arial"/>
          <w:lang w:eastAsia="ja-JP"/>
        </w:rPr>
        <w:t>audit report</w:t>
      </w:r>
      <w:r w:rsidR="00325164" w:rsidRPr="00B31A4B">
        <w:rPr>
          <w:rFonts w:ascii="Arial" w:hAnsi="Arial" w:cs="Arial"/>
          <w:color w:val="FF0000"/>
          <w:lang w:eastAsia="ja-JP"/>
        </w:rPr>
        <w:t>]</w:t>
      </w:r>
      <w:r w:rsidR="00325164" w:rsidRPr="00B31A4B">
        <w:rPr>
          <w:rFonts w:ascii="Arial" w:hAnsi="Arial" w:cs="Arial"/>
          <w:lang w:eastAsia="ja-JP"/>
        </w:rPr>
        <w:t xml:space="preserve"> </w:t>
      </w:r>
      <w:r w:rsidR="00325164" w:rsidRPr="00B31A4B">
        <w:rPr>
          <w:rFonts w:ascii="Arial" w:hAnsi="Arial" w:cs="Arial"/>
          <w:b/>
          <w:i/>
          <w:color w:val="002060"/>
          <w:lang w:eastAsia="ja-JP"/>
        </w:rPr>
        <w:t>OR</w:t>
      </w:r>
      <w:r w:rsidR="00325164" w:rsidRPr="00B31A4B">
        <w:rPr>
          <w:rFonts w:ascii="Arial" w:hAnsi="Arial" w:cs="Arial"/>
          <w:i/>
          <w:color w:val="FF0000"/>
          <w:lang w:eastAsia="ja-JP"/>
        </w:rPr>
        <w:t xml:space="preserve"> </w:t>
      </w:r>
      <w:r w:rsidR="00325164" w:rsidRPr="00B31A4B">
        <w:rPr>
          <w:rFonts w:ascii="Arial" w:hAnsi="Arial" w:cs="Arial"/>
          <w:color w:val="FF0000"/>
          <w:lang w:eastAsia="ja-JP"/>
        </w:rPr>
        <w:t>[</w:t>
      </w:r>
      <w:r w:rsidR="00325164" w:rsidRPr="00B31A4B">
        <w:rPr>
          <w:rFonts w:ascii="Arial" w:hAnsi="Arial" w:cs="Arial"/>
          <w:lang w:eastAsia="ja-JP"/>
        </w:rPr>
        <w:t>agreed-upon procedures report</w:t>
      </w:r>
      <w:r w:rsidR="00325164" w:rsidRPr="00B31A4B">
        <w:rPr>
          <w:rFonts w:ascii="Arial" w:hAnsi="Arial" w:cs="Arial"/>
          <w:color w:val="FF0000"/>
          <w:lang w:eastAsia="ja-JP"/>
        </w:rPr>
        <w:t>]</w:t>
      </w:r>
      <w:r w:rsidR="00325164" w:rsidRPr="00B31A4B">
        <w:rPr>
          <w:rFonts w:ascii="Arial" w:hAnsi="Arial" w:cs="Arial"/>
          <w:i/>
          <w:lang w:eastAsia="ja-JP"/>
        </w:rPr>
        <w:t>,</w:t>
      </w:r>
      <w:r w:rsidR="00325164" w:rsidRPr="00B31A4B">
        <w:rPr>
          <w:rFonts w:ascii="Arial" w:hAnsi="Arial" w:cs="Arial"/>
          <w:i/>
          <w:color w:val="FF0000"/>
          <w:lang w:eastAsia="ja-JP"/>
        </w:rPr>
        <w:t xml:space="preserve"> </w:t>
      </w:r>
      <w:r w:rsidR="00325164" w:rsidRPr="00B31A4B">
        <w:rPr>
          <w:rFonts w:ascii="Arial" w:hAnsi="Arial" w:cs="Arial"/>
          <w:lang w:eastAsia="ja-JP"/>
        </w:rPr>
        <w:t xml:space="preserve">due from the </w:t>
      </w:r>
      <w:r w:rsidR="00325164" w:rsidRPr="00B31A4B">
        <w:rPr>
          <w:rFonts w:ascii="Arial" w:hAnsi="Arial" w:cs="Arial"/>
          <w:color w:val="FF0000"/>
          <w:lang w:eastAsia="ja-JP"/>
        </w:rPr>
        <w:t>X</w:t>
      </w:r>
      <w:r w:rsidR="00325164" w:rsidRPr="00B31A4B">
        <w:rPr>
          <w:rFonts w:ascii="Arial" w:hAnsi="Arial" w:cs="Arial"/>
          <w:lang w:eastAsia="ja-JP"/>
        </w:rPr>
        <w:t xml:space="preserve"> fund, payable to the </w:t>
      </w:r>
      <w:r w:rsidR="00325164" w:rsidRPr="00B31A4B">
        <w:rPr>
          <w:rFonts w:ascii="Arial" w:hAnsi="Arial" w:cs="Arial"/>
          <w:color w:val="FF0000"/>
          <w:lang w:eastAsia="ja-JP"/>
        </w:rPr>
        <w:t>Y</w:t>
      </w:r>
      <w:r w:rsidR="00325164" w:rsidRPr="00B31A4B">
        <w:rPr>
          <w:rFonts w:ascii="Arial" w:hAnsi="Arial" w:cs="Arial"/>
          <w:lang w:eastAsia="ja-JP"/>
        </w:rPr>
        <w:t xml:space="preserve"> fund,</w:t>
      </w:r>
      <w:r w:rsidR="00325164" w:rsidRPr="00B31A4B">
        <w:rPr>
          <w:rFonts w:ascii="Arial" w:hAnsi="Arial" w:cs="Arial"/>
          <w:i/>
          <w:color w:val="FF0000"/>
          <w:lang w:eastAsia="ja-JP"/>
        </w:rPr>
        <w:t xml:space="preserve"> </w:t>
      </w:r>
      <w:r w:rsidR="00325164" w:rsidRPr="00B31A4B">
        <w:rPr>
          <w:rFonts w:ascii="Arial" w:hAnsi="Arial" w:cs="Arial"/>
          <w:lang w:eastAsia="ja-JP"/>
        </w:rPr>
        <w:t xml:space="preserve">was properly posted to the </w:t>
      </w:r>
      <w:r w:rsidR="003323A1" w:rsidRPr="007A6154">
        <w:rPr>
          <w:rFonts w:ascii="Arial" w:hAnsi="Arial" w:cs="Arial"/>
          <w:lang w:eastAsia="ja-JP"/>
        </w:rPr>
        <w:t>ledgers and reflected in the fund balances in Procedure 2</w:t>
      </w:r>
      <w:r w:rsidR="00325164" w:rsidRPr="00B31A4B">
        <w:rPr>
          <w:rFonts w:ascii="Arial" w:hAnsi="Arial" w:cs="Arial"/>
          <w:lang w:eastAsia="ja-JP"/>
        </w:rPr>
        <w:t xml:space="preserve">.  We found no exceptions.  </w:t>
      </w:r>
      <w:r w:rsidR="00325164" w:rsidRPr="00B31A4B">
        <w:rPr>
          <w:rFonts w:ascii="Arial" w:hAnsi="Arial" w:cs="Arial"/>
          <w:b/>
          <w:i/>
          <w:color w:val="002060"/>
          <w:lang w:eastAsia="ja-JP"/>
        </w:rPr>
        <w:t>[Delete step if not applicable.  If the adjustment was not properly posted, you should reissue the FFA in this AUP.]</w:t>
      </w:r>
    </w:p>
    <w:p w14:paraId="0113BF98" w14:textId="77777777" w:rsidR="00FD0898" w:rsidRPr="00B31A4B" w:rsidRDefault="00FD0898" w:rsidP="00B31A4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DA9E3B0" w14:textId="25FD684D" w:rsidR="00FD0898" w:rsidRPr="00B31A4B" w:rsidRDefault="00325164"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traced interbank account transfers occurring in December of </w:t>
      </w:r>
      <w:r w:rsidR="00F13D85">
        <w:rPr>
          <w:rFonts w:ascii="Arial" w:hAnsi="Arial" w:cs="Arial"/>
          <w:lang w:eastAsia="ja-JP"/>
        </w:rPr>
        <w:t>2023</w:t>
      </w:r>
      <w:r w:rsidRPr="00B31A4B">
        <w:rPr>
          <w:rFonts w:ascii="Arial" w:hAnsi="Arial" w:cs="Arial"/>
          <w:lang w:eastAsia="ja-JP"/>
        </w:rPr>
        <w:t xml:space="preserve"> and </w:t>
      </w:r>
      <w:r w:rsidR="00F13D85">
        <w:rPr>
          <w:rFonts w:ascii="Arial" w:hAnsi="Arial" w:cs="Arial"/>
          <w:lang w:eastAsia="ja-JP"/>
        </w:rPr>
        <w:t>2022</w:t>
      </w:r>
      <w:r w:rsidRPr="00B31A4B">
        <w:rPr>
          <w:rFonts w:ascii="Arial" w:hAnsi="Arial" w:cs="Arial"/>
          <w:lang w:eastAsia="ja-JP"/>
        </w:rPr>
        <w:t xml:space="preserve"> to the accounting records and </w:t>
      </w:r>
      <w:r w:rsidRPr="00B31A4B">
        <w:rPr>
          <w:rFonts w:ascii="Arial" w:hAnsi="Arial" w:cs="Arial"/>
          <w:color w:val="FF0000"/>
          <w:lang w:eastAsia="ja-JP"/>
        </w:rPr>
        <w:t>[</w:t>
      </w:r>
      <w:r w:rsidRPr="00B31A4B">
        <w:rPr>
          <w:rFonts w:ascii="Arial" w:hAnsi="Arial" w:cs="Arial"/>
          <w:lang w:eastAsia="ja-JP"/>
        </w:rPr>
        <w:t>bank statements</w:t>
      </w:r>
      <w:r w:rsidRPr="00B31A4B">
        <w:rPr>
          <w:rFonts w:ascii="Arial" w:hAnsi="Arial" w:cs="Arial"/>
          <w:color w:val="FF0000"/>
          <w:lang w:eastAsia="ja-JP"/>
        </w:rPr>
        <w:t>]</w:t>
      </w:r>
      <w:r w:rsidRPr="00B31A4B">
        <w:rPr>
          <w:rFonts w:ascii="Arial" w:hAnsi="Arial" w:cs="Arial"/>
          <w:lang w:eastAsia="ja-JP"/>
        </w:rPr>
        <w:t xml:space="preserve"> </w:t>
      </w:r>
      <w:r w:rsidRPr="00B31A4B">
        <w:rPr>
          <w:rFonts w:ascii="Arial" w:hAnsi="Arial" w:cs="Arial"/>
          <w:b/>
          <w:i/>
          <w:color w:val="002060"/>
          <w:lang w:eastAsia="ja-JP"/>
        </w:rPr>
        <w:t>OR</w:t>
      </w:r>
      <w:r w:rsidRPr="00B31A4B">
        <w:rPr>
          <w:rFonts w:ascii="Arial" w:hAnsi="Arial" w:cs="Arial"/>
          <w:lang w:eastAsia="ja-JP"/>
        </w:rPr>
        <w:t xml:space="preserve"> </w:t>
      </w:r>
      <w:r w:rsidRPr="00B31A4B">
        <w:rPr>
          <w:rFonts w:ascii="Arial" w:hAnsi="Arial" w:cs="Arial"/>
          <w:color w:val="FF0000"/>
          <w:lang w:eastAsia="ja-JP"/>
        </w:rPr>
        <w:t>[</w:t>
      </w:r>
      <w:r w:rsidRPr="00B31A4B">
        <w:rPr>
          <w:rFonts w:ascii="Arial" w:hAnsi="Arial" w:cs="Arial"/>
          <w:lang w:eastAsia="ja-JP"/>
        </w:rPr>
        <w:t>reconciliation</w:t>
      </w:r>
      <w:r w:rsidRPr="00B31A4B">
        <w:rPr>
          <w:rFonts w:ascii="Arial" w:hAnsi="Arial" w:cs="Arial"/>
          <w:color w:val="FF0000"/>
          <w:lang w:eastAsia="ja-JP"/>
        </w:rPr>
        <w:t>]</w:t>
      </w:r>
      <w:r w:rsidR="00652C08" w:rsidRPr="00B31A4B">
        <w:rPr>
          <w:rFonts w:ascii="Arial" w:hAnsi="Arial" w:cs="Arial"/>
          <w:lang w:eastAsia="ja-JP"/>
        </w:rPr>
        <w:t xml:space="preserve"> to </w:t>
      </w:r>
      <w:r w:rsidR="00FD0898" w:rsidRPr="00B31A4B">
        <w:rPr>
          <w:rFonts w:ascii="Arial" w:hAnsi="Arial" w:cs="Arial"/>
          <w:lang w:eastAsia="ja-JP"/>
        </w:rPr>
        <w:t xml:space="preserve">determine if they were properly recorded.  We found no exceptions.  </w:t>
      </w:r>
      <w:r w:rsidRPr="00B31A4B">
        <w:rPr>
          <w:rFonts w:ascii="Arial" w:hAnsi="Arial" w:cs="Arial"/>
          <w:b/>
          <w:i/>
          <w:color w:val="002060"/>
          <w:lang w:eastAsia="ja-JP"/>
        </w:rPr>
        <w:t>[If there is only one bank account, or if no transfers were noted near year-end, delete this step.]</w:t>
      </w:r>
    </w:p>
    <w:p w14:paraId="2990BCFE" w14:textId="77777777" w:rsidR="00FD0898" w:rsidRPr="00B31A4B" w:rsidRDefault="00FD0898" w:rsidP="00B31A4B">
      <w:pPr>
        <w:pStyle w:val="ListParagraph"/>
        <w:jc w:val="both"/>
        <w:rPr>
          <w:rFonts w:ascii="Arial" w:hAnsi="Arial" w:cs="Arial"/>
          <w:lang w:eastAsia="ja-JP"/>
        </w:rPr>
      </w:pPr>
    </w:p>
    <w:p w14:paraId="4AFB5C62" w14:textId="76185BC9" w:rsidR="00FD0898" w:rsidRPr="00B31A4B" w:rsidRDefault="00FD0898" w:rsidP="00B31A4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31A4B">
        <w:rPr>
          <w:rFonts w:ascii="Arial" w:hAnsi="Arial" w:cs="Arial"/>
          <w:lang w:eastAsia="ja-JP"/>
        </w:rPr>
        <w:t xml:space="preserve">We </w:t>
      </w:r>
      <w:r w:rsidR="00652C08" w:rsidRPr="00B31A4B">
        <w:rPr>
          <w:rFonts w:ascii="Arial" w:hAnsi="Arial" w:cs="Arial"/>
          <w:lang w:eastAsia="ja-JP"/>
        </w:rPr>
        <w:t>inspected</w:t>
      </w:r>
      <w:r w:rsidRPr="00B31A4B">
        <w:rPr>
          <w:rFonts w:ascii="Arial" w:hAnsi="Arial" w:cs="Arial"/>
          <w:lang w:eastAsia="ja-JP"/>
        </w:rPr>
        <w:t xml:space="preserve"> investments held at December 31, </w:t>
      </w:r>
      <w:r w:rsidR="00F13D85">
        <w:rPr>
          <w:rFonts w:ascii="Arial" w:hAnsi="Arial" w:cs="Arial"/>
          <w:lang w:eastAsia="ja-JP"/>
        </w:rPr>
        <w:t>2023</w:t>
      </w:r>
      <w:r w:rsidR="00777868">
        <w:rPr>
          <w:rFonts w:ascii="Arial" w:hAnsi="Arial" w:cs="Arial"/>
          <w:lang w:eastAsia="ja-JP"/>
        </w:rPr>
        <w:t xml:space="preserve"> </w:t>
      </w:r>
      <w:r w:rsidR="00325164" w:rsidRPr="00B31A4B">
        <w:rPr>
          <w:rFonts w:ascii="Arial" w:hAnsi="Arial" w:cs="Arial"/>
          <w:lang w:eastAsia="ja-JP"/>
        </w:rPr>
        <w:t xml:space="preserve">and December 31, </w:t>
      </w:r>
      <w:r w:rsidR="00F13D85">
        <w:rPr>
          <w:rFonts w:ascii="Arial" w:hAnsi="Arial" w:cs="Arial"/>
          <w:lang w:eastAsia="ja-JP"/>
        </w:rPr>
        <w:t>2022</w:t>
      </w:r>
      <w:r w:rsidR="00777868">
        <w:rPr>
          <w:rFonts w:ascii="Arial" w:hAnsi="Arial" w:cs="Arial"/>
          <w:lang w:eastAsia="ja-JP"/>
        </w:rPr>
        <w:t xml:space="preserve"> </w:t>
      </w:r>
      <w:r w:rsidR="00325164" w:rsidRPr="00B31A4B">
        <w:rPr>
          <w:rFonts w:ascii="Arial" w:hAnsi="Arial" w:cs="Arial"/>
          <w:lang w:eastAsia="ja-JP"/>
        </w:rPr>
        <w:t>to determine that they</w:t>
      </w:r>
      <w:r w:rsidR="00C522CE" w:rsidRPr="00B31A4B">
        <w:rPr>
          <w:rFonts w:ascii="Arial" w:hAnsi="Arial" w:cs="Arial"/>
          <w:lang w:eastAsia="ja-JP"/>
        </w:rPr>
        <w:t xml:space="preserve"> w</w:t>
      </w:r>
      <w:r w:rsidRPr="00B31A4B">
        <w:rPr>
          <w:rFonts w:ascii="Arial" w:hAnsi="Arial" w:cs="Arial"/>
          <w:lang w:eastAsia="ja-JP"/>
        </w:rPr>
        <w:t>ere of a type authorized by</w:t>
      </w:r>
      <w:r w:rsidR="00D8579D" w:rsidRPr="00B31A4B">
        <w:rPr>
          <w:rFonts w:ascii="Arial" w:hAnsi="Arial" w:cs="Arial"/>
          <w:lang w:eastAsia="ja-JP"/>
        </w:rPr>
        <w:t xml:space="preserve"> the CVB</w:t>
      </w:r>
      <w:r w:rsidRPr="00B31A4B">
        <w:rPr>
          <w:rFonts w:ascii="Arial" w:hAnsi="Arial" w:cs="Arial"/>
          <w:lang w:eastAsia="ja-JP"/>
        </w:rPr>
        <w:t>.  We found no exceptions</w:t>
      </w:r>
      <w:r w:rsidR="00C522CE" w:rsidRPr="00B31A4B">
        <w:rPr>
          <w:rFonts w:ascii="Arial" w:hAnsi="Arial" w:cs="Arial"/>
          <w:lang w:eastAsia="ja-JP"/>
        </w:rPr>
        <w:t xml:space="preserve"> </w:t>
      </w:r>
      <w:r w:rsidR="00C522CE" w:rsidRPr="00B31A4B">
        <w:rPr>
          <w:rFonts w:ascii="Arial" w:hAnsi="Arial" w:cs="Arial"/>
          <w:b/>
          <w:i/>
          <w:color w:val="002060"/>
          <w:lang w:eastAsia="ja-JP"/>
        </w:rPr>
        <w:t>[Delete step if no investments (or CDs)]</w:t>
      </w:r>
    </w:p>
    <w:p w14:paraId="2813EBB4" w14:textId="77777777" w:rsidR="00117DE2" w:rsidRPr="00B31A4B" w:rsidRDefault="00117DE2"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1F46128A" w14:textId="77777777" w:rsidR="00022E09" w:rsidRPr="00B31A4B" w:rsidRDefault="000D5310"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B31A4B">
        <w:rPr>
          <w:rFonts w:ascii="Arial" w:hAnsi="Arial" w:cs="Arial"/>
          <w:b/>
          <w:lang w:eastAsia="ja-JP"/>
        </w:rPr>
        <w:t>Cash Receipts</w:t>
      </w:r>
    </w:p>
    <w:p w14:paraId="5E41E9CF" w14:textId="77777777" w:rsidR="00117DE2" w:rsidRPr="00B31A4B" w:rsidRDefault="00117DE2"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1B39473" w14:textId="0FD6F30A" w:rsidR="00022E09" w:rsidRPr="00B31A4B" w:rsidRDefault="002577C1" w:rsidP="00B31A4B">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summarized lodging taxes the </w:t>
      </w:r>
      <w:r w:rsidRPr="00B31A4B">
        <w:rPr>
          <w:rFonts w:ascii="Arial" w:hAnsi="Arial" w:cs="Arial"/>
          <w:color w:val="FF0000"/>
          <w:lang w:eastAsia="ja-JP"/>
        </w:rPr>
        <w:t xml:space="preserve">[Name of County, Municipality </w:t>
      </w:r>
      <w:r w:rsidR="0065255E" w:rsidRPr="00B31A4B">
        <w:rPr>
          <w:rFonts w:ascii="Arial" w:hAnsi="Arial" w:cs="Arial"/>
          <w:color w:val="FF0000"/>
          <w:lang w:eastAsia="ja-JP"/>
        </w:rPr>
        <w:t>and/</w:t>
      </w:r>
      <w:r w:rsidRPr="00B31A4B">
        <w:rPr>
          <w:rFonts w:ascii="Arial" w:hAnsi="Arial" w:cs="Arial"/>
          <w:color w:val="FF0000"/>
          <w:lang w:eastAsia="ja-JP"/>
        </w:rPr>
        <w:t>or Township]</w:t>
      </w:r>
      <w:r w:rsidRPr="00B31A4B">
        <w:rPr>
          <w:rFonts w:ascii="Arial" w:hAnsi="Arial" w:cs="Arial"/>
          <w:lang w:eastAsia="ja-JP"/>
        </w:rPr>
        <w:t xml:space="preserve">’s </w:t>
      </w:r>
      <w:r w:rsidR="001A3B3B" w:rsidRPr="00B31A4B">
        <w:rPr>
          <w:rFonts w:ascii="Arial" w:hAnsi="Arial" w:cs="Arial"/>
          <w:color w:val="FF0000"/>
          <w:lang w:eastAsia="ja-JP"/>
        </w:rPr>
        <w:t>[</w:t>
      </w:r>
      <w:r w:rsidRPr="00B31A4B">
        <w:rPr>
          <w:rFonts w:ascii="Arial" w:hAnsi="Arial" w:cs="Arial"/>
          <w:color w:val="FF0000"/>
          <w:lang w:eastAsia="ja-JP"/>
        </w:rPr>
        <w:t>cash disbursement journal</w:t>
      </w:r>
      <w:r w:rsidR="001A3B3B" w:rsidRPr="00B31A4B">
        <w:rPr>
          <w:rFonts w:ascii="Arial" w:hAnsi="Arial" w:cs="Arial"/>
          <w:color w:val="FF0000"/>
          <w:lang w:eastAsia="ja-JP"/>
        </w:rPr>
        <w:t>]</w:t>
      </w:r>
      <w:r w:rsidRPr="00B31A4B">
        <w:rPr>
          <w:rFonts w:ascii="Arial" w:hAnsi="Arial" w:cs="Arial"/>
          <w:lang w:eastAsia="ja-JP"/>
        </w:rPr>
        <w:t xml:space="preserve"> </w:t>
      </w:r>
      <w:r w:rsidR="00E42F27" w:rsidRPr="00B31A4B">
        <w:rPr>
          <w:rFonts w:ascii="Arial" w:hAnsi="Arial" w:cs="Arial"/>
          <w:b/>
          <w:i/>
          <w:color w:val="002060"/>
          <w:lang w:eastAsia="ja-JP"/>
        </w:rPr>
        <w:t>[&lt;</w:t>
      </w:r>
      <w:r w:rsidR="00B35FF5" w:rsidRPr="00B31A4B">
        <w:rPr>
          <w:rFonts w:ascii="Arial" w:hAnsi="Arial" w:cs="Arial"/>
          <w:b/>
          <w:i/>
          <w:color w:val="002060"/>
          <w:lang w:eastAsia="ja-JP"/>
        </w:rPr>
        <w:t xml:space="preserve">&lt;&lt; use exact name of </w:t>
      </w:r>
      <w:r w:rsidR="00652B23" w:rsidRPr="00B31A4B">
        <w:rPr>
          <w:rFonts w:ascii="Arial" w:hAnsi="Arial" w:cs="Arial"/>
          <w:b/>
          <w:i/>
          <w:color w:val="002060"/>
          <w:lang w:eastAsia="ja-JP"/>
        </w:rPr>
        <w:t xml:space="preserve">accounting </w:t>
      </w:r>
      <w:r w:rsidR="00B35FF5" w:rsidRPr="00B31A4B">
        <w:rPr>
          <w:rFonts w:ascii="Arial" w:hAnsi="Arial" w:cs="Arial"/>
          <w:b/>
          <w:i/>
          <w:color w:val="002060"/>
          <w:lang w:eastAsia="ja-JP"/>
        </w:rPr>
        <w:t>report</w:t>
      </w:r>
      <w:r w:rsidR="00E42F27" w:rsidRPr="00B31A4B">
        <w:rPr>
          <w:rFonts w:ascii="Arial" w:hAnsi="Arial" w:cs="Arial"/>
          <w:b/>
          <w:i/>
          <w:color w:val="002060"/>
          <w:lang w:eastAsia="ja-JP"/>
        </w:rPr>
        <w:t>]</w:t>
      </w:r>
      <w:r w:rsidR="00B35FF5" w:rsidRPr="00B31A4B">
        <w:rPr>
          <w:rFonts w:ascii="Arial" w:hAnsi="Arial" w:cs="Arial"/>
          <w:lang w:eastAsia="ja-JP"/>
        </w:rPr>
        <w:t xml:space="preserve"> </w:t>
      </w:r>
      <w:r w:rsidRPr="00B31A4B">
        <w:rPr>
          <w:rFonts w:ascii="Arial" w:hAnsi="Arial" w:cs="Arial"/>
          <w:lang w:eastAsia="ja-JP"/>
        </w:rPr>
        <w:t xml:space="preserve">reported as payments to the Bureau </w:t>
      </w:r>
      <w:r w:rsidR="00432773" w:rsidRPr="00B31A4B">
        <w:rPr>
          <w:rFonts w:ascii="Arial" w:hAnsi="Arial" w:cs="Arial"/>
          <w:lang w:eastAsia="ja-JP"/>
        </w:rPr>
        <w:t>during</w:t>
      </w:r>
      <w:r w:rsidRPr="00B31A4B">
        <w:rPr>
          <w:rFonts w:ascii="Arial" w:hAnsi="Arial" w:cs="Arial"/>
          <w:lang w:eastAsia="ja-JP"/>
        </w:rPr>
        <w:t xml:space="preserve"> the years ending </w:t>
      </w:r>
      <w:r w:rsidR="00B35FF5" w:rsidRPr="00B31A4B">
        <w:rPr>
          <w:rFonts w:ascii="Arial" w:hAnsi="Arial" w:cs="Arial"/>
          <w:lang w:eastAsia="ja-JP"/>
        </w:rPr>
        <w:t xml:space="preserve">December 31, </w:t>
      </w:r>
      <w:r w:rsidR="00F13D85">
        <w:rPr>
          <w:rFonts w:ascii="Arial" w:hAnsi="Arial" w:cs="Arial"/>
          <w:lang w:eastAsia="ja-JP"/>
        </w:rPr>
        <w:t>2023</w:t>
      </w:r>
      <w:r w:rsidR="00B35FF5" w:rsidRPr="00B31A4B">
        <w:rPr>
          <w:rFonts w:ascii="Arial" w:hAnsi="Arial" w:cs="Arial"/>
          <w:lang w:eastAsia="ja-JP"/>
        </w:rPr>
        <w:t xml:space="preserve"> and</w:t>
      </w:r>
      <w:r w:rsidR="002427D6">
        <w:rPr>
          <w:rFonts w:ascii="Arial" w:hAnsi="Arial" w:cs="Arial"/>
          <w:lang w:eastAsia="ja-JP"/>
        </w:rPr>
        <w:t xml:space="preserve"> </w:t>
      </w:r>
      <w:r w:rsidR="00F13D85">
        <w:rPr>
          <w:rFonts w:ascii="Arial" w:hAnsi="Arial" w:cs="Arial"/>
          <w:lang w:eastAsia="ja-JP"/>
        </w:rPr>
        <w:t>2022</w:t>
      </w:r>
      <w:r w:rsidR="00B35FF5" w:rsidRPr="00B31A4B">
        <w:rPr>
          <w:rFonts w:ascii="Arial" w:hAnsi="Arial" w:cs="Arial"/>
          <w:lang w:eastAsia="ja-JP"/>
        </w:rPr>
        <w:t>.  The total reported disbursements were as follows:</w:t>
      </w:r>
      <w:r w:rsidR="0065255E" w:rsidRPr="00B31A4B">
        <w:rPr>
          <w:rStyle w:val="EndnoteReference"/>
          <w:rFonts w:ascii="Arial" w:hAnsi="Arial" w:cs="Arial"/>
          <w:b/>
          <w:i/>
          <w:color w:val="002060"/>
          <w:lang w:eastAsia="ja-JP"/>
        </w:rPr>
        <w:endnoteReference w:id="9"/>
      </w:r>
    </w:p>
    <w:p w14:paraId="0152C8FD" w14:textId="77777777" w:rsidR="00022E09" w:rsidRPr="00B31A4B" w:rsidRDefault="00B35FF5"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r w:rsidRPr="00B31A4B">
        <w:rPr>
          <w:rFonts w:ascii="Arial" w:hAnsi="Arial" w:cs="Arial"/>
          <w:lang w:eastAsia="ja-JP"/>
        </w:rPr>
        <w:tab/>
      </w:r>
      <w:r w:rsidRPr="00B31A4B">
        <w:rPr>
          <w:rFonts w:ascii="Arial" w:hAnsi="Arial" w:cs="Arial"/>
          <w:lang w:eastAsia="ja-JP"/>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tblGrid>
      <w:tr w:rsidR="00B35FF5" w:rsidRPr="00B31A4B" w14:paraId="7FDB6A22" w14:textId="77777777" w:rsidTr="00290928">
        <w:trPr>
          <w:jc w:val="center"/>
        </w:trPr>
        <w:tc>
          <w:tcPr>
            <w:tcW w:w="2520" w:type="dxa"/>
          </w:tcPr>
          <w:p w14:paraId="5FF530C7" w14:textId="77777777" w:rsidR="00022E09" w:rsidRPr="00B31A4B" w:rsidRDefault="00B35FF5"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B31A4B">
              <w:rPr>
                <w:rFonts w:ascii="Arial" w:hAnsi="Arial" w:cs="Arial"/>
                <w:b/>
                <w:lang w:eastAsia="ja-JP"/>
              </w:rPr>
              <w:t>Year Ended</w:t>
            </w:r>
          </w:p>
        </w:tc>
        <w:tc>
          <w:tcPr>
            <w:tcW w:w="1440" w:type="dxa"/>
          </w:tcPr>
          <w:p w14:paraId="5C5D3C33" w14:textId="77777777" w:rsidR="00022E09" w:rsidRPr="00B31A4B" w:rsidRDefault="00B35FF5"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B31A4B">
              <w:rPr>
                <w:rFonts w:ascii="Arial" w:hAnsi="Arial" w:cs="Arial"/>
                <w:b/>
                <w:lang w:eastAsia="ja-JP"/>
              </w:rPr>
              <w:t>Amount</w:t>
            </w:r>
          </w:p>
        </w:tc>
      </w:tr>
      <w:tr w:rsidR="00B35FF5" w:rsidRPr="00B31A4B" w14:paraId="5173B526" w14:textId="77777777" w:rsidTr="00290928">
        <w:trPr>
          <w:jc w:val="center"/>
        </w:trPr>
        <w:tc>
          <w:tcPr>
            <w:tcW w:w="2520" w:type="dxa"/>
            <w:vAlign w:val="center"/>
          </w:tcPr>
          <w:p w14:paraId="1F8392FD" w14:textId="5B45BE12" w:rsidR="00022E09" w:rsidRPr="00B31A4B" w:rsidRDefault="00C1675D" w:rsidP="0077786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lang w:eastAsia="ja-JP"/>
              </w:rPr>
            </w:pPr>
            <w:r w:rsidRPr="00B31A4B">
              <w:rPr>
                <w:rFonts w:ascii="Arial" w:hAnsi="Arial" w:cs="Arial"/>
                <w:lang w:eastAsia="ja-JP"/>
              </w:rPr>
              <w:t xml:space="preserve">December 31, </w:t>
            </w:r>
            <w:r w:rsidR="00F13D85">
              <w:rPr>
                <w:rFonts w:ascii="Arial" w:hAnsi="Arial" w:cs="Arial"/>
                <w:lang w:eastAsia="ja-JP"/>
              </w:rPr>
              <w:t>2023</w:t>
            </w:r>
          </w:p>
        </w:tc>
        <w:tc>
          <w:tcPr>
            <w:tcW w:w="1440" w:type="dxa"/>
          </w:tcPr>
          <w:p w14:paraId="15AAB879" w14:textId="77777777" w:rsidR="00022E09" w:rsidRPr="00B31A4B" w:rsidRDefault="00C1675D"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B31A4B">
              <w:rPr>
                <w:rFonts w:ascii="Arial" w:hAnsi="Arial" w:cs="Arial"/>
                <w:lang w:eastAsia="ja-JP"/>
              </w:rPr>
              <w:t>$</w:t>
            </w:r>
            <w:r w:rsidRPr="00B31A4B">
              <w:rPr>
                <w:rFonts w:ascii="Arial" w:hAnsi="Arial" w:cs="Arial"/>
                <w:color w:val="FF0000"/>
                <w:lang w:eastAsia="ja-JP"/>
              </w:rPr>
              <w:t>XX,XXX</w:t>
            </w:r>
          </w:p>
        </w:tc>
      </w:tr>
      <w:tr w:rsidR="00B35FF5" w:rsidRPr="00B31A4B" w14:paraId="471F9BA7" w14:textId="77777777" w:rsidTr="00290928">
        <w:trPr>
          <w:jc w:val="center"/>
        </w:trPr>
        <w:tc>
          <w:tcPr>
            <w:tcW w:w="2520" w:type="dxa"/>
            <w:vAlign w:val="center"/>
          </w:tcPr>
          <w:p w14:paraId="5EF95FAD" w14:textId="79287E74" w:rsidR="00022E09" w:rsidRPr="00B31A4B" w:rsidRDefault="00C1675D"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lang w:eastAsia="ja-JP"/>
              </w:rPr>
            </w:pPr>
            <w:r w:rsidRPr="00B31A4B">
              <w:rPr>
                <w:rFonts w:ascii="Arial" w:hAnsi="Arial" w:cs="Arial"/>
                <w:lang w:eastAsia="ja-JP"/>
              </w:rPr>
              <w:t xml:space="preserve">December 31, </w:t>
            </w:r>
            <w:r w:rsidR="00F13D85">
              <w:rPr>
                <w:rFonts w:ascii="Arial" w:hAnsi="Arial" w:cs="Arial"/>
                <w:lang w:eastAsia="ja-JP"/>
              </w:rPr>
              <w:t>2022</w:t>
            </w:r>
          </w:p>
        </w:tc>
        <w:tc>
          <w:tcPr>
            <w:tcW w:w="1440" w:type="dxa"/>
            <w:vAlign w:val="center"/>
          </w:tcPr>
          <w:p w14:paraId="1FD846C4" w14:textId="77777777" w:rsidR="00022E09" w:rsidRPr="00B31A4B" w:rsidRDefault="00C1675D"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B31A4B">
              <w:rPr>
                <w:rFonts w:ascii="Arial" w:hAnsi="Arial" w:cs="Arial"/>
                <w:lang w:eastAsia="ja-JP"/>
              </w:rPr>
              <w:t>$</w:t>
            </w:r>
            <w:r w:rsidRPr="00B31A4B">
              <w:rPr>
                <w:rFonts w:ascii="Arial" w:hAnsi="Arial" w:cs="Arial"/>
                <w:color w:val="FF0000"/>
                <w:lang w:eastAsia="ja-JP"/>
              </w:rPr>
              <w:t>ZZ,ZZZ</w:t>
            </w:r>
          </w:p>
        </w:tc>
      </w:tr>
    </w:tbl>
    <w:p w14:paraId="22A33654" w14:textId="77777777" w:rsidR="00022E09" w:rsidRPr="00B31A4B" w:rsidRDefault="00022E09"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6A67F421" w14:textId="77777777" w:rsidR="00022E09" w:rsidRPr="00B31A4B" w:rsidRDefault="00E42F27" w:rsidP="00B31A4B">
      <w:pPr>
        <w:tabs>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b/>
          <w:i/>
          <w:color w:val="002060"/>
          <w:lang w:eastAsia="ja-JP"/>
        </w:rPr>
      </w:pPr>
      <w:r w:rsidRPr="00B31A4B">
        <w:rPr>
          <w:rFonts w:ascii="Arial" w:hAnsi="Arial" w:cs="Arial"/>
          <w:b/>
          <w:i/>
          <w:color w:val="002060"/>
          <w:lang w:eastAsia="ja-JP"/>
        </w:rPr>
        <w:tab/>
        <w:t>[</w:t>
      </w:r>
      <w:r w:rsidR="009D3195" w:rsidRPr="00B31A4B">
        <w:rPr>
          <w:rFonts w:ascii="Arial" w:hAnsi="Arial" w:cs="Arial"/>
          <w:b/>
          <w:i/>
          <w:color w:val="002060"/>
          <w:lang w:eastAsia="ja-JP"/>
        </w:rPr>
        <w:t>ALTERNATIVE STEP 1</w:t>
      </w:r>
      <w:r w:rsidR="007E7122" w:rsidRPr="00B31A4B">
        <w:rPr>
          <w:rFonts w:ascii="Arial" w:hAnsi="Arial" w:cs="Arial"/>
          <w:b/>
          <w:i/>
          <w:color w:val="002060"/>
          <w:lang w:eastAsia="ja-JP"/>
        </w:rPr>
        <w:t>:</w:t>
      </w:r>
      <w:r w:rsidRPr="00B31A4B">
        <w:rPr>
          <w:rFonts w:ascii="Arial" w:hAnsi="Arial" w:cs="Arial"/>
          <w:b/>
          <w:i/>
          <w:color w:val="002060"/>
          <w:lang w:eastAsia="ja-JP"/>
        </w:rPr>
        <w:t>]</w:t>
      </w:r>
    </w:p>
    <w:p w14:paraId="310D77FF" w14:textId="1410D702" w:rsidR="00022E09" w:rsidRPr="00B31A4B" w:rsidRDefault="007E7122" w:rsidP="00B31A4B">
      <w:p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outlineLvl w:val="0"/>
        <w:rPr>
          <w:rFonts w:ascii="Arial" w:hAnsi="Arial" w:cs="Arial"/>
          <w:lang w:eastAsia="ja-JP"/>
        </w:rPr>
      </w:pPr>
      <w:r w:rsidRPr="00B31A4B">
        <w:rPr>
          <w:rFonts w:ascii="Arial" w:hAnsi="Arial" w:cs="Arial"/>
          <w:lang w:eastAsia="ja-JP"/>
        </w:rPr>
        <w:t xml:space="preserve">We confirmed with </w:t>
      </w:r>
      <w:r w:rsidR="00E42F27" w:rsidRPr="00B31A4B">
        <w:rPr>
          <w:rFonts w:ascii="Arial" w:hAnsi="Arial" w:cs="Arial"/>
          <w:color w:val="FF0000"/>
          <w:lang w:eastAsia="ja-JP"/>
        </w:rPr>
        <w:t>[Name of County, Municipality and/or Township]</w:t>
      </w:r>
      <w:r w:rsidRPr="00B31A4B">
        <w:rPr>
          <w:rFonts w:ascii="Arial" w:hAnsi="Arial" w:cs="Arial"/>
          <w:lang w:eastAsia="ja-JP"/>
        </w:rPr>
        <w:t xml:space="preserve"> the lodging taxes it paid to the Bureau during the years ending December 31, </w:t>
      </w:r>
      <w:r w:rsidR="00F13D85">
        <w:rPr>
          <w:rFonts w:ascii="Arial" w:hAnsi="Arial" w:cs="Arial"/>
          <w:lang w:eastAsia="ja-JP"/>
        </w:rPr>
        <w:t>2023</w:t>
      </w:r>
      <w:r w:rsidRPr="00B31A4B">
        <w:rPr>
          <w:rFonts w:ascii="Arial" w:hAnsi="Arial" w:cs="Arial"/>
          <w:lang w:eastAsia="ja-JP"/>
        </w:rPr>
        <w:t xml:space="preserve"> and</w:t>
      </w:r>
      <w:r w:rsidR="002427D6">
        <w:rPr>
          <w:rFonts w:ascii="Arial" w:hAnsi="Arial" w:cs="Arial"/>
          <w:lang w:eastAsia="ja-JP"/>
        </w:rPr>
        <w:t xml:space="preserve"> </w:t>
      </w:r>
      <w:r w:rsidR="00F13D85">
        <w:rPr>
          <w:rFonts w:ascii="Arial" w:hAnsi="Arial" w:cs="Arial"/>
          <w:lang w:eastAsia="ja-JP"/>
        </w:rPr>
        <w:t>2022</w:t>
      </w:r>
      <w:r w:rsidRPr="00B31A4B">
        <w:rPr>
          <w:rFonts w:ascii="Arial" w:hAnsi="Arial" w:cs="Arial"/>
          <w:lang w:eastAsia="ja-JP"/>
        </w:rPr>
        <w:t xml:space="preserve">.  The </w:t>
      </w:r>
      <w:r w:rsidR="00E42F27" w:rsidRPr="00B31A4B">
        <w:rPr>
          <w:rFonts w:ascii="Arial" w:hAnsi="Arial" w:cs="Arial"/>
          <w:color w:val="FF0000"/>
          <w:lang w:eastAsia="ja-JP"/>
        </w:rPr>
        <w:t>[Name of County, Municipality and/or Township]</w:t>
      </w:r>
      <w:r w:rsidRPr="00B31A4B">
        <w:rPr>
          <w:rFonts w:ascii="Arial" w:hAnsi="Arial" w:cs="Arial"/>
          <w:lang w:eastAsia="ja-JP"/>
        </w:rPr>
        <w:t xml:space="preserve"> confirmed the following amounts:  </w:t>
      </w:r>
    </w:p>
    <w:p w14:paraId="6CC13B97" w14:textId="77777777" w:rsidR="00022E09" w:rsidRPr="00B31A4B" w:rsidRDefault="007E7122"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r w:rsidRPr="00B31A4B">
        <w:rPr>
          <w:rFonts w:ascii="Arial" w:hAnsi="Arial" w:cs="Arial"/>
          <w:lang w:eastAsia="ja-JP"/>
        </w:rPr>
        <w:tab/>
      </w:r>
      <w:r w:rsidRPr="00B31A4B">
        <w:rPr>
          <w:rFonts w:ascii="Arial" w:hAnsi="Arial" w:cs="Arial"/>
          <w:lang w:eastAsia="ja-JP"/>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tblGrid>
      <w:tr w:rsidR="007E7122" w:rsidRPr="00B31A4B" w14:paraId="2B4C59BD" w14:textId="77777777" w:rsidTr="00397207">
        <w:trPr>
          <w:jc w:val="center"/>
        </w:trPr>
        <w:tc>
          <w:tcPr>
            <w:tcW w:w="2520" w:type="dxa"/>
          </w:tcPr>
          <w:p w14:paraId="4C17F469" w14:textId="77777777" w:rsidR="00022E09" w:rsidRPr="00B31A4B" w:rsidRDefault="007E7122"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B31A4B">
              <w:rPr>
                <w:rFonts w:ascii="Arial" w:hAnsi="Arial" w:cs="Arial"/>
                <w:b/>
                <w:lang w:eastAsia="ja-JP"/>
              </w:rPr>
              <w:t>Year Ended</w:t>
            </w:r>
          </w:p>
        </w:tc>
        <w:tc>
          <w:tcPr>
            <w:tcW w:w="1440" w:type="dxa"/>
          </w:tcPr>
          <w:p w14:paraId="4E0830FE" w14:textId="77777777" w:rsidR="00022E09" w:rsidRPr="00B31A4B" w:rsidRDefault="007E7122"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B31A4B">
              <w:rPr>
                <w:rFonts w:ascii="Arial" w:hAnsi="Arial" w:cs="Arial"/>
                <w:b/>
                <w:lang w:eastAsia="ja-JP"/>
              </w:rPr>
              <w:t>Amount</w:t>
            </w:r>
          </w:p>
        </w:tc>
      </w:tr>
      <w:tr w:rsidR="007E7122" w:rsidRPr="00B31A4B" w14:paraId="667B1527" w14:textId="77777777" w:rsidTr="00397207">
        <w:trPr>
          <w:jc w:val="center"/>
        </w:trPr>
        <w:tc>
          <w:tcPr>
            <w:tcW w:w="2520" w:type="dxa"/>
            <w:vAlign w:val="center"/>
          </w:tcPr>
          <w:p w14:paraId="2B1B7CDB" w14:textId="507FD350" w:rsidR="00022E09" w:rsidRPr="00B31A4B" w:rsidRDefault="007E7122"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lang w:eastAsia="ja-JP"/>
              </w:rPr>
            </w:pPr>
            <w:r w:rsidRPr="00B31A4B">
              <w:rPr>
                <w:rFonts w:ascii="Arial" w:hAnsi="Arial" w:cs="Arial"/>
                <w:lang w:eastAsia="ja-JP"/>
              </w:rPr>
              <w:lastRenderedPageBreak/>
              <w:t xml:space="preserve">December 31, </w:t>
            </w:r>
            <w:r w:rsidR="00F13D85">
              <w:rPr>
                <w:rFonts w:ascii="Arial" w:hAnsi="Arial" w:cs="Arial"/>
                <w:lang w:eastAsia="ja-JP"/>
              </w:rPr>
              <w:t>2023</w:t>
            </w:r>
          </w:p>
        </w:tc>
        <w:tc>
          <w:tcPr>
            <w:tcW w:w="1440" w:type="dxa"/>
          </w:tcPr>
          <w:p w14:paraId="5891A530" w14:textId="77777777" w:rsidR="00022E09" w:rsidRPr="00B31A4B" w:rsidRDefault="007E7122"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B31A4B">
              <w:rPr>
                <w:rFonts w:ascii="Arial" w:hAnsi="Arial" w:cs="Arial"/>
                <w:lang w:eastAsia="ja-JP"/>
              </w:rPr>
              <w:t>$</w:t>
            </w:r>
            <w:r w:rsidRPr="00B31A4B">
              <w:rPr>
                <w:rFonts w:ascii="Arial" w:hAnsi="Arial" w:cs="Arial"/>
                <w:color w:val="FF0000"/>
                <w:lang w:eastAsia="ja-JP"/>
              </w:rPr>
              <w:t>XX,XXX</w:t>
            </w:r>
          </w:p>
        </w:tc>
      </w:tr>
      <w:tr w:rsidR="007E7122" w:rsidRPr="00B31A4B" w14:paraId="7528A44D" w14:textId="77777777" w:rsidTr="00397207">
        <w:trPr>
          <w:jc w:val="center"/>
        </w:trPr>
        <w:tc>
          <w:tcPr>
            <w:tcW w:w="2520" w:type="dxa"/>
            <w:vAlign w:val="center"/>
          </w:tcPr>
          <w:p w14:paraId="1AE75688" w14:textId="1BFCE651" w:rsidR="00022E09" w:rsidRPr="00B31A4B" w:rsidRDefault="007E7122"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lang w:eastAsia="ja-JP"/>
              </w:rPr>
            </w:pPr>
            <w:r w:rsidRPr="00B31A4B">
              <w:rPr>
                <w:rFonts w:ascii="Arial" w:hAnsi="Arial" w:cs="Arial"/>
                <w:lang w:eastAsia="ja-JP"/>
              </w:rPr>
              <w:t xml:space="preserve">December 31, </w:t>
            </w:r>
            <w:r w:rsidR="00F13D85">
              <w:rPr>
                <w:rFonts w:ascii="Arial" w:hAnsi="Arial" w:cs="Arial"/>
                <w:lang w:eastAsia="ja-JP"/>
              </w:rPr>
              <w:t>2022</w:t>
            </w:r>
          </w:p>
        </w:tc>
        <w:tc>
          <w:tcPr>
            <w:tcW w:w="1440" w:type="dxa"/>
            <w:vAlign w:val="center"/>
          </w:tcPr>
          <w:p w14:paraId="37EF5F52" w14:textId="77777777" w:rsidR="00022E09" w:rsidRPr="00B31A4B" w:rsidRDefault="007E7122" w:rsidP="00397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B31A4B">
              <w:rPr>
                <w:rFonts w:ascii="Arial" w:hAnsi="Arial" w:cs="Arial"/>
                <w:lang w:eastAsia="ja-JP"/>
              </w:rPr>
              <w:t>$</w:t>
            </w:r>
            <w:r w:rsidRPr="00B31A4B">
              <w:rPr>
                <w:rFonts w:ascii="Arial" w:hAnsi="Arial" w:cs="Arial"/>
                <w:color w:val="FF0000"/>
                <w:lang w:eastAsia="ja-JP"/>
              </w:rPr>
              <w:t>ZZ,ZZZ</w:t>
            </w:r>
          </w:p>
        </w:tc>
      </w:tr>
    </w:tbl>
    <w:p w14:paraId="3334242C" w14:textId="77777777" w:rsidR="00022E09" w:rsidRPr="00B31A4B" w:rsidRDefault="00022E09"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725C6BBF" w14:textId="77777777" w:rsidR="00022E09" w:rsidRPr="00B31A4B" w:rsidRDefault="00C1675D" w:rsidP="00B31A4B">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31A4B">
        <w:rPr>
          <w:rFonts w:ascii="Arial" w:hAnsi="Arial" w:cs="Arial"/>
          <w:lang w:eastAsia="ja-JP"/>
        </w:rPr>
        <w:t xml:space="preserve">We compared the amounts from step 1 to amounts recorded as lodging tax receipts on the Bureau’s </w:t>
      </w:r>
      <w:r w:rsidR="001A3B3B" w:rsidRPr="00B31A4B">
        <w:rPr>
          <w:rFonts w:ascii="Arial" w:hAnsi="Arial" w:cs="Arial"/>
          <w:color w:val="FF0000"/>
          <w:lang w:eastAsia="ja-JP"/>
        </w:rPr>
        <w:t>[</w:t>
      </w:r>
      <w:r w:rsidRPr="00B31A4B">
        <w:rPr>
          <w:rFonts w:ascii="Arial" w:hAnsi="Arial" w:cs="Arial"/>
          <w:color w:val="FF0000"/>
          <w:lang w:eastAsia="ja-JP"/>
        </w:rPr>
        <w:t>cash receipts journal</w:t>
      </w:r>
      <w:r w:rsidR="001A3B3B" w:rsidRPr="00B31A4B">
        <w:rPr>
          <w:rFonts w:ascii="Arial" w:hAnsi="Arial" w:cs="Arial"/>
          <w:color w:val="FF0000"/>
          <w:lang w:eastAsia="ja-JP"/>
        </w:rPr>
        <w:t>]</w:t>
      </w:r>
      <w:r w:rsidRPr="00B31A4B">
        <w:rPr>
          <w:rFonts w:ascii="Arial" w:hAnsi="Arial" w:cs="Arial"/>
          <w:lang w:eastAsia="ja-JP"/>
        </w:rPr>
        <w:t xml:space="preserve"> </w:t>
      </w:r>
      <w:r w:rsidR="00E42F27" w:rsidRPr="00B31A4B">
        <w:rPr>
          <w:rFonts w:ascii="Arial" w:hAnsi="Arial" w:cs="Arial"/>
          <w:b/>
          <w:i/>
          <w:color w:val="002060"/>
          <w:lang w:eastAsia="ja-JP"/>
        </w:rPr>
        <w:t>[&lt;</w:t>
      </w:r>
      <w:r w:rsidRPr="00B31A4B">
        <w:rPr>
          <w:rFonts w:ascii="Arial" w:hAnsi="Arial" w:cs="Arial"/>
          <w:b/>
          <w:i/>
          <w:color w:val="002060"/>
          <w:lang w:eastAsia="ja-JP"/>
        </w:rPr>
        <w:t xml:space="preserve">&lt;&lt; use exact name of </w:t>
      </w:r>
      <w:r w:rsidR="00652B23" w:rsidRPr="00B31A4B">
        <w:rPr>
          <w:rFonts w:ascii="Arial" w:hAnsi="Arial" w:cs="Arial"/>
          <w:b/>
          <w:i/>
          <w:color w:val="002060"/>
          <w:lang w:eastAsia="ja-JP"/>
        </w:rPr>
        <w:t xml:space="preserve">accounting </w:t>
      </w:r>
      <w:r w:rsidRPr="00B31A4B">
        <w:rPr>
          <w:rFonts w:ascii="Arial" w:hAnsi="Arial" w:cs="Arial"/>
          <w:b/>
          <w:i/>
          <w:color w:val="002060"/>
          <w:lang w:eastAsia="ja-JP"/>
        </w:rPr>
        <w:t>report</w:t>
      </w:r>
      <w:r w:rsidR="00E42F27" w:rsidRPr="00B31A4B">
        <w:rPr>
          <w:rFonts w:ascii="Arial" w:hAnsi="Arial" w:cs="Arial"/>
          <w:b/>
          <w:i/>
          <w:color w:val="002060"/>
          <w:lang w:eastAsia="ja-JP"/>
        </w:rPr>
        <w:t>]</w:t>
      </w:r>
      <w:r w:rsidRPr="00B31A4B">
        <w:rPr>
          <w:rFonts w:ascii="Arial" w:hAnsi="Arial" w:cs="Arial"/>
          <w:lang w:eastAsia="ja-JP"/>
        </w:rPr>
        <w:t>.  We found no exceptions.</w:t>
      </w:r>
      <w:r w:rsidR="00432773" w:rsidRPr="00B31A4B">
        <w:rPr>
          <w:rStyle w:val="EndnoteReference"/>
          <w:rFonts w:ascii="Arial" w:hAnsi="Arial" w:cs="Arial"/>
          <w:b/>
          <w:i/>
          <w:color w:val="002060"/>
          <w:lang w:eastAsia="ja-JP"/>
        </w:rPr>
        <w:endnoteReference w:id="10"/>
      </w:r>
    </w:p>
    <w:p w14:paraId="5E9E6E54" w14:textId="77777777" w:rsidR="00022E09" w:rsidRPr="00B31A4B" w:rsidRDefault="002577C1"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r w:rsidRPr="00B31A4B">
        <w:rPr>
          <w:rFonts w:ascii="Arial" w:hAnsi="Arial" w:cs="Arial"/>
          <w:lang w:eastAsia="ja-JP"/>
        </w:rPr>
        <w:t xml:space="preserve"> </w:t>
      </w:r>
    </w:p>
    <w:p w14:paraId="7EFB74BD" w14:textId="7D0E5B1F" w:rsidR="00022E09" w:rsidRPr="00B31A4B" w:rsidRDefault="000D5310" w:rsidP="00B31A4B">
      <w:pPr>
        <w:jc w:val="both"/>
        <w:rPr>
          <w:rFonts w:ascii="Arial" w:hAnsi="Arial" w:cs="Arial"/>
        </w:rPr>
      </w:pPr>
      <w:r w:rsidRPr="00B31A4B">
        <w:rPr>
          <w:rFonts w:ascii="Arial" w:hAnsi="Arial" w:cs="Arial"/>
          <w:b/>
          <w:lang w:eastAsia="ja-JP"/>
        </w:rPr>
        <w:t>Cash Disbursements</w:t>
      </w:r>
    </w:p>
    <w:p w14:paraId="0FBA69E7" w14:textId="77777777" w:rsidR="00022E09" w:rsidRPr="00B31A4B" w:rsidRDefault="00022E09" w:rsidP="00B31A4B">
      <w:pPr>
        <w:autoSpaceDE w:val="0"/>
        <w:autoSpaceDN w:val="0"/>
        <w:adjustRightInd w:val="0"/>
        <w:ind w:left="360"/>
        <w:jc w:val="both"/>
        <w:rPr>
          <w:rFonts w:ascii="Arial" w:hAnsi="Arial" w:cs="Arial"/>
          <w:lang w:eastAsia="ja-JP"/>
        </w:rPr>
      </w:pPr>
    </w:p>
    <w:p w14:paraId="7D7D847A" w14:textId="77777777" w:rsidR="00022E09" w:rsidRPr="00B31A4B" w:rsidRDefault="00DB0652" w:rsidP="00B31A4B">
      <w:pPr>
        <w:numPr>
          <w:ilvl w:val="0"/>
          <w:numId w:val="6"/>
        </w:numPr>
        <w:autoSpaceDE w:val="0"/>
        <w:autoSpaceDN w:val="0"/>
        <w:adjustRightInd w:val="0"/>
        <w:jc w:val="both"/>
        <w:rPr>
          <w:rFonts w:ascii="Arial" w:hAnsi="Arial" w:cs="Arial"/>
          <w:lang w:eastAsia="ja-JP"/>
        </w:rPr>
      </w:pPr>
      <w:r w:rsidRPr="00B31A4B">
        <w:rPr>
          <w:rFonts w:ascii="Arial" w:hAnsi="Arial" w:cs="Arial"/>
          <w:lang w:eastAsia="ja-JP"/>
        </w:rPr>
        <w:t xml:space="preserve">We </w:t>
      </w:r>
      <w:r w:rsidR="00C931FC" w:rsidRPr="00B31A4B">
        <w:rPr>
          <w:rFonts w:ascii="Arial" w:hAnsi="Arial" w:cs="Arial"/>
          <w:lang w:eastAsia="ja-JP"/>
        </w:rPr>
        <w:t>inquired of management regarding</w:t>
      </w:r>
      <w:r w:rsidRPr="00B31A4B">
        <w:rPr>
          <w:rFonts w:ascii="Arial" w:hAnsi="Arial" w:cs="Arial"/>
          <w:lang w:eastAsia="ja-JP"/>
        </w:rPr>
        <w:t xml:space="preserve"> </w:t>
      </w:r>
      <w:r w:rsidR="003D7CD5" w:rsidRPr="00B31A4B">
        <w:rPr>
          <w:rFonts w:ascii="Arial" w:hAnsi="Arial" w:cs="Arial"/>
          <w:lang w:eastAsia="ja-JP"/>
        </w:rPr>
        <w:t>sources</w:t>
      </w:r>
      <w:r w:rsidRPr="00B31A4B">
        <w:rPr>
          <w:rFonts w:ascii="Arial" w:hAnsi="Arial" w:cs="Arial"/>
          <w:lang w:eastAsia="ja-JP"/>
        </w:rPr>
        <w:t xml:space="preserve"> describing </w:t>
      </w:r>
      <w:r w:rsidR="00CA6B65" w:rsidRPr="00B31A4B">
        <w:rPr>
          <w:rFonts w:ascii="Arial" w:hAnsi="Arial" w:cs="Arial"/>
          <w:lang w:eastAsia="ja-JP"/>
        </w:rPr>
        <w:t xml:space="preserve">allowable </w:t>
      </w:r>
      <w:r w:rsidRPr="00B31A4B">
        <w:rPr>
          <w:rFonts w:ascii="Arial" w:hAnsi="Arial" w:cs="Arial"/>
          <w:lang w:eastAsia="ja-JP"/>
        </w:rPr>
        <w:t xml:space="preserve">purposes </w:t>
      </w:r>
      <w:r w:rsidR="00CA6B65" w:rsidRPr="00B31A4B">
        <w:rPr>
          <w:rFonts w:ascii="Arial" w:hAnsi="Arial" w:cs="Arial"/>
          <w:lang w:eastAsia="ja-JP"/>
        </w:rPr>
        <w:t>or restrictions</w:t>
      </w:r>
      <w:r w:rsidRPr="00B31A4B">
        <w:rPr>
          <w:rFonts w:ascii="Arial" w:hAnsi="Arial" w:cs="Arial"/>
          <w:lang w:eastAsia="ja-JP"/>
        </w:rPr>
        <w:t xml:space="preserve"> </w:t>
      </w:r>
      <w:r w:rsidR="00CA6B65" w:rsidRPr="00B31A4B">
        <w:rPr>
          <w:rFonts w:ascii="Arial" w:hAnsi="Arial" w:cs="Arial"/>
          <w:lang w:eastAsia="ja-JP"/>
        </w:rPr>
        <w:t xml:space="preserve">related to the </w:t>
      </w:r>
      <w:r w:rsidRPr="00B31A4B">
        <w:rPr>
          <w:rFonts w:ascii="Arial" w:hAnsi="Arial" w:cs="Arial"/>
          <w:lang w:eastAsia="ja-JP"/>
        </w:rPr>
        <w:t>Bureau</w:t>
      </w:r>
      <w:r w:rsidR="00CA6B65" w:rsidRPr="00B31A4B">
        <w:rPr>
          <w:rFonts w:ascii="Arial" w:hAnsi="Arial" w:cs="Arial"/>
          <w:lang w:eastAsia="ja-JP"/>
        </w:rPr>
        <w:t xml:space="preserve">’s disbursements of </w:t>
      </w:r>
      <w:r w:rsidRPr="00B31A4B">
        <w:rPr>
          <w:rFonts w:ascii="Arial" w:hAnsi="Arial" w:cs="Arial"/>
          <w:lang w:eastAsia="ja-JP"/>
        </w:rPr>
        <w:t xml:space="preserve">lodging taxes.  We listed these sources and </w:t>
      </w:r>
      <w:r w:rsidR="00622DC5" w:rsidRPr="00B31A4B">
        <w:rPr>
          <w:rFonts w:ascii="Arial" w:hAnsi="Arial" w:cs="Arial"/>
          <w:lang w:eastAsia="ja-JP"/>
        </w:rPr>
        <w:t>summarized significant</w:t>
      </w:r>
      <w:r w:rsidRPr="00B31A4B">
        <w:rPr>
          <w:rFonts w:ascii="Arial" w:hAnsi="Arial" w:cs="Arial"/>
          <w:lang w:eastAsia="ja-JP"/>
        </w:rPr>
        <w:t xml:space="preserve"> related restrictions below:</w:t>
      </w:r>
    </w:p>
    <w:p w14:paraId="53503A0D" w14:textId="77777777" w:rsidR="00022E09" w:rsidRPr="00B31A4B" w:rsidRDefault="00022E09" w:rsidP="00B31A4B">
      <w:pPr>
        <w:autoSpaceDE w:val="0"/>
        <w:autoSpaceDN w:val="0"/>
        <w:adjustRightInd w:val="0"/>
        <w:ind w:left="1080"/>
        <w:jc w:val="both"/>
        <w:rPr>
          <w:rFonts w:ascii="Arial" w:hAnsi="Arial" w:cs="Arial"/>
          <w:b/>
          <w:lang w:eastAsia="ja-JP"/>
        </w:rPr>
      </w:pPr>
    </w:p>
    <w:p w14:paraId="47CFD6C5" w14:textId="77777777" w:rsidR="00022E09" w:rsidRPr="00B31A4B" w:rsidRDefault="003D7CD5" w:rsidP="00290928">
      <w:pPr>
        <w:autoSpaceDE w:val="0"/>
        <w:autoSpaceDN w:val="0"/>
        <w:adjustRightInd w:val="0"/>
        <w:ind w:firstLine="720"/>
        <w:jc w:val="both"/>
        <w:rPr>
          <w:rFonts w:ascii="Arial" w:hAnsi="Arial" w:cs="Arial"/>
          <w:lang w:eastAsia="ja-JP"/>
        </w:rPr>
      </w:pPr>
      <w:r w:rsidRPr="00B31A4B">
        <w:rPr>
          <w:rFonts w:ascii="Arial" w:hAnsi="Arial" w:cs="Arial"/>
          <w:b/>
          <w:lang w:eastAsia="ja-JP"/>
        </w:rPr>
        <w:t>Source of Restrictions</w:t>
      </w:r>
    </w:p>
    <w:p w14:paraId="0B6F1970" w14:textId="77777777" w:rsidR="00022E09" w:rsidRPr="00B31A4B" w:rsidRDefault="00C931FC" w:rsidP="00B31A4B">
      <w:pPr>
        <w:numPr>
          <w:ilvl w:val="1"/>
          <w:numId w:val="6"/>
        </w:numPr>
        <w:autoSpaceDE w:val="0"/>
        <w:autoSpaceDN w:val="0"/>
        <w:adjustRightInd w:val="0"/>
        <w:jc w:val="both"/>
        <w:rPr>
          <w:rFonts w:ascii="Arial" w:hAnsi="Arial" w:cs="Arial"/>
          <w:lang w:eastAsia="ja-JP"/>
        </w:rPr>
      </w:pPr>
      <w:r w:rsidRPr="00B31A4B">
        <w:rPr>
          <w:rFonts w:ascii="Arial" w:hAnsi="Arial" w:cs="Arial"/>
          <w:lang w:eastAsia="ja-JP"/>
        </w:rPr>
        <w:t xml:space="preserve">The Bureau’s </w:t>
      </w:r>
      <w:r w:rsidR="003D7CD5" w:rsidRPr="00B31A4B">
        <w:rPr>
          <w:rFonts w:ascii="Arial" w:hAnsi="Arial" w:cs="Arial"/>
          <w:lang w:eastAsia="ja-JP"/>
        </w:rPr>
        <w:t xml:space="preserve">Articles of </w:t>
      </w:r>
      <w:r w:rsidR="005F23D1" w:rsidRPr="00B31A4B">
        <w:rPr>
          <w:rFonts w:ascii="Arial" w:hAnsi="Arial" w:cs="Arial"/>
          <w:lang w:eastAsia="ja-JP"/>
        </w:rPr>
        <w:t>I</w:t>
      </w:r>
      <w:r w:rsidR="003D7CD5" w:rsidRPr="00B31A4B">
        <w:rPr>
          <w:rFonts w:ascii="Arial" w:hAnsi="Arial" w:cs="Arial"/>
          <w:lang w:eastAsia="ja-JP"/>
        </w:rPr>
        <w:t>ncorporation</w:t>
      </w:r>
    </w:p>
    <w:p w14:paraId="402F974F" w14:textId="77777777" w:rsidR="00022E09" w:rsidRPr="00B31A4B" w:rsidRDefault="000F037E" w:rsidP="00B31A4B">
      <w:pPr>
        <w:numPr>
          <w:ilvl w:val="1"/>
          <w:numId w:val="6"/>
        </w:numPr>
        <w:autoSpaceDE w:val="0"/>
        <w:autoSpaceDN w:val="0"/>
        <w:adjustRightInd w:val="0"/>
        <w:jc w:val="both"/>
        <w:rPr>
          <w:rFonts w:ascii="Arial" w:hAnsi="Arial" w:cs="Arial"/>
          <w:lang w:eastAsia="ja-JP"/>
        </w:rPr>
      </w:pPr>
      <w:r w:rsidRPr="00B31A4B">
        <w:rPr>
          <w:rFonts w:ascii="Arial" w:hAnsi="Arial" w:cs="Arial"/>
          <w:lang w:eastAsia="ja-JP"/>
        </w:rPr>
        <w:t>The Bureau’s 501(c)(6</w:t>
      </w:r>
      <w:r w:rsidR="00C931FC" w:rsidRPr="00B31A4B">
        <w:rPr>
          <w:rFonts w:ascii="Arial" w:hAnsi="Arial" w:cs="Arial"/>
          <w:lang w:eastAsia="ja-JP"/>
        </w:rPr>
        <w:t>)</w:t>
      </w:r>
      <w:r w:rsidR="00895262" w:rsidRPr="00B31A4B">
        <w:rPr>
          <w:rStyle w:val="EndnoteReference"/>
          <w:rFonts w:ascii="Arial" w:hAnsi="Arial" w:cs="Arial"/>
          <w:b/>
          <w:i/>
          <w:color w:val="002060"/>
          <w:lang w:eastAsia="ja-JP"/>
        </w:rPr>
        <w:endnoteReference w:id="11"/>
      </w:r>
      <w:r w:rsidR="00C931FC" w:rsidRPr="00B31A4B">
        <w:rPr>
          <w:rFonts w:ascii="Arial" w:hAnsi="Arial" w:cs="Arial"/>
          <w:lang w:eastAsia="ja-JP"/>
        </w:rPr>
        <w:t xml:space="preserve"> Tax Exemption</w:t>
      </w:r>
    </w:p>
    <w:p w14:paraId="7CCC7F52" w14:textId="77777777" w:rsidR="00022E09" w:rsidRPr="00B31A4B" w:rsidRDefault="003D7CD5" w:rsidP="00B31A4B">
      <w:pPr>
        <w:numPr>
          <w:ilvl w:val="1"/>
          <w:numId w:val="6"/>
        </w:numPr>
        <w:autoSpaceDE w:val="0"/>
        <w:autoSpaceDN w:val="0"/>
        <w:adjustRightInd w:val="0"/>
        <w:jc w:val="both"/>
        <w:rPr>
          <w:rFonts w:ascii="Arial" w:hAnsi="Arial" w:cs="Arial"/>
          <w:color w:val="FF0000"/>
          <w:lang w:eastAsia="ja-JP"/>
        </w:rPr>
      </w:pPr>
      <w:r w:rsidRPr="00B31A4B">
        <w:rPr>
          <w:rFonts w:ascii="Arial" w:hAnsi="Arial" w:cs="Arial"/>
          <w:lang w:eastAsia="ja-JP"/>
        </w:rPr>
        <w:t xml:space="preserve">City of </w:t>
      </w:r>
      <w:r w:rsidR="00A55EFD" w:rsidRPr="00B31A4B">
        <w:rPr>
          <w:rFonts w:ascii="Arial" w:hAnsi="Arial" w:cs="Arial"/>
          <w:color w:val="FF0000"/>
          <w:lang w:eastAsia="ja-JP"/>
        </w:rPr>
        <w:t>[name]</w:t>
      </w:r>
      <w:r w:rsidRPr="00B31A4B">
        <w:rPr>
          <w:rFonts w:ascii="Arial" w:hAnsi="Arial" w:cs="Arial"/>
          <w:lang w:eastAsia="ja-JP"/>
        </w:rPr>
        <w:t xml:space="preserve"> </w:t>
      </w:r>
      <w:r w:rsidR="001A3B3B" w:rsidRPr="00B31A4B">
        <w:rPr>
          <w:rFonts w:ascii="Arial" w:hAnsi="Arial" w:cs="Arial"/>
          <w:color w:val="FF0000"/>
          <w:lang w:eastAsia="ja-JP"/>
        </w:rPr>
        <w:t>[</w:t>
      </w:r>
      <w:r w:rsidRPr="00B31A4B">
        <w:rPr>
          <w:rFonts w:ascii="Arial" w:hAnsi="Arial" w:cs="Arial"/>
          <w:color w:val="FF0000"/>
          <w:lang w:eastAsia="ja-JP"/>
        </w:rPr>
        <w:t>Resolution 99-007</w:t>
      </w:r>
      <w:r w:rsidR="001A3B3B" w:rsidRPr="00B31A4B">
        <w:rPr>
          <w:rFonts w:ascii="Arial" w:hAnsi="Arial" w:cs="Arial"/>
          <w:color w:val="FF0000"/>
          <w:lang w:eastAsia="ja-JP"/>
        </w:rPr>
        <w:t>]</w:t>
      </w:r>
      <w:r w:rsidR="002F555B" w:rsidRPr="00B31A4B">
        <w:rPr>
          <w:rFonts w:ascii="Arial" w:hAnsi="Arial" w:cs="Arial"/>
          <w:lang w:eastAsia="ja-JP"/>
        </w:rPr>
        <w:t xml:space="preserve"> </w:t>
      </w:r>
      <w:r w:rsidR="00E42F27" w:rsidRPr="00B31A4B">
        <w:rPr>
          <w:rFonts w:ascii="Arial" w:hAnsi="Arial" w:cs="Arial"/>
          <w:b/>
          <w:i/>
          <w:color w:val="002060"/>
          <w:lang w:eastAsia="ja-JP"/>
        </w:rPr>
        <w:t>[&lt;</w:t>
      </w:r>
      <w:r w:rsidR="002F555B" w:rsidRPr="00B31A4B">
        <w:rPr>
          <w:rFonts w:ascii="Arial" w:hAnsi="Arial" w:cs="Arial"/>
          <w:b/>
          <w:i/>
          <w:color w:val="002060"/>
        </w:rPr>
        <w:t>&lt;&lt;</w:t>
      </w:r>
      <w:r w:rsidR="00E42F27" w:rsidRPr="00B31A4B">
        <w:rPr>
          <w:rFonts w:ascii="Arial" w:hAnsi="Arial" w:cs="Arial"/>
          <w:b/>
          <w:i/>
          <w:color w:val="002060"/>
        </w:rPr>
        <w:t>modify as needed]</w:t>
      </w:r>
    </w:p>
    <w:p w14:paraId="4C3D73E2" w14:textId="3558AA57" w:rsidR="00022E09" w:rsidRPr="00B31A4B" w:rsidRDefault="003D7CD5" w:rsidP="00DF7907">
      <w:pPr>
        <w:numPr>
          <w:ilvl w:val="1"/>
          <w:numId w:val="6"/>
        </w:numPr>
        <w:autoSpaceDE w:val="0"/>
        <w:autoSpaceDN w:val="0"/>
        <w:adjustRightInd w:val="0"/>
        <w:jc w:val="both"/>
        <w:rPr>
          <w:rFonts w:ascii="Arial" w:hAnsi="Arial" w:cs="Arial"/>
          <w:color w:val="002060"/>
          <w:lang w:eastAsia="ja-JP"/>
        </w:rPr>
      </w:pPr>
      <w:r w:rsidRPr="00B31A4B">
        <w:rPr>
          <w:rFonts w:ascii="Arial" w:hAnsi="Arial" w:cs="Arial"/>
          <w:lang w:eastAsia="ja-JP"/>
        </w:rPr>
        <w:t xml:space="preserve">Ohio Rev. Code </w:t>
      </w:r>
      <w:r w:rsidR="00DF7907" w:rsidRPr="00DF7907">
        <w:rPr>
          <w:rFonts w:ascii="Arial" w:hAnsi="Arial" w:cs="Arial"/>
          <w:lang w:eastAsia="ja-JP"/>
        </w:rPr>
        <w:t>§</w:t>
      </w:r>
      <w:r w:rsidRPr="00B31A4B">
        <w:rPr>
          <w:rFonts w:ascii="Arial" w:hAnsi="Arial" w:cs="Arial"/>
          <w:lang w:eastAsia="ja-JP"/>
        </w:rPr>
        <w:t xml:space="preserve"> 5739.09</w:t>
      </w:r>
      <w:r w:rsidR="000C4438">
        <w:rPr>
          <w:rFonts w:ascii="Arial" w:hAnsi="Arial" w:cs="Arial"/>
          <w:lang w:eastAsia="ja-JP"/>
        </w:rPr>
        <w:t>2</w:t>
      </w:r>
      <w:r w:rsidR="001A07AB" w:rsidRPr="00B31A4B">
        <w:rPr>
          <w:rFonts w:ascii="Arial" w:hAnsi="Arial" w:cs="Arial"/>
          <w:lang w:eastAsia="ja-JP"/>
        </w:rPr>
        <w:t xml:space="preserve"> </w:t>
      </w:r>
      <w:r w:rsidR="00E42F27" w:rsidRPr="00B31A4B">
        <w:rPr>
          <w:rFonts w:ascii="Arial" w:hAnsi="Arial" w:cs="Arial"/>
          <w:b/>
          <w:i/>
          <w:color w:val="002060"/>
          <w:lang w:eastAsia="ja-JP"/>
        </w:rPr>
        <w:t>[&lt;&lt;&lt;Note:</w:t>
      </w:r>
      <w:r w:rsidR="001A07AB" w:rsidRPr="00B31A4B">
        <w:rPr>
          <w:rFonts w:ascii="Arial" w:hAnsi="Arial" w:cs="Arial"/>
          <w:b/>
          <w:i/>
          <w:color w:val="002060"/>
          <w:lang w:eastAsia="ja-JP"/>
        </w:rPr>
        <w:t xml:space="preserve"> This only applies to lodging taxes a county pays to a CVB.  Otherwise delete.</w:t>
      </w:r>
      <w:r w:rsidR="00E42F27" w:rsidRPr="00B31A4B">
        <w:rPr>
          <w:rFonts w:ascii="Arial" w:hAnsi="Arial" w:cs="Arial"/>
          <w:b/>
          <w:i/>
          <w:color w:val="002060"/>
          <w:lang w:eastAsia="ja-JP"/>
        </w:rPr>
        <w:t>]</w:t>
      </w:r>
    </w:p>
    <w:p w14:paraId="6C93921F" w14:textId="77777777" w:rsidR="00022E09" w:rsidRPr="00B31A4B" w:rsidRDefault="00022E09" w:rsidP="00B31A4B">
      <w:pPr>
        <w:autoSpaceDE w:val="0"/>
        <w:autoSpaceDN w:val="0"/>
        <w:adjustRightInd w:val="0"/>
        <w:ind w:left="720"/>
        <w:jc w:val="both"/>
        <w:rPr>
          <w:rFonts w:ascii="Arial" w:hAnsi="Arial" w:cs="Arial"/>
          <w:lang w:eastAsia="ja-JP"/>
        </w:rPr>
      </w:pPr>
    </w:p>
    <w:p w14:paraId="7459941D" w14:textId="77777777" w:rsidR="00022E09" w:rsidRPr="00B31A4B" w:rsidRDefault="00622DC5" w:rsidP="00B31A4B">
      <w:pPr>
        <w:autoSpaceDE w:val="0"/>
        <w:autoSpaceDN w:val="0"/>
        <w:adjustRightInd w:val="0"/>
        <w:ind w:left="360" w:firstLine="360"/>
        <w:jc w:val="both"/>
        <w:rPr>
          <w:rFonts w:ascii="Arial" w:hAnsi="Arial" w:cs="Arial"/>
          <w:lang w:eastAsia="ja-JP"/>
        </w:rPr>
      </w:pPr>
      <w:r w:rsidRPr="00B31A4B">
        <w:rPr>
          <w:rFonts w:ascii="Arial" w:hAnsi="Arial" w:cs="Arial"/>
          <w:lang w:eastAsia="ja-JP"/>
        </w:rPr>
        <w:t>The Bureau’s tax exemption prohibits it from disbursements supporting a candidate’s election.</w:t>
      </w:r>
    </w:p>
    <w:p w14:paraId="2B940942" w14:textId="77777777" w:rsidR="00022E09" w:rsidRPr="00B31A4B" w:rsidRDefault="00022E09" w:rsidP="00B31A4B">
      <w:pPr>
        <w:autoSpaceDE w:val="0"/>
        <w:autoSpaceDN w:val="0"/>
        <w:adjustRightInd w:val="0"/>
        <w:ind w:left="720"/>
        <w:jc w:val="both"/>
        <w:rPr>
          <w:rFonts w:ascii="Arial" w:hAnsi="Arial" w:cs="Arial"/>
          <w:lang w:eastAsia="ja-JP"/>
        </w:rPr>
      </w:pPr>
    </w:p>
    <w:p w14:paraId="6933F208" w14:textId="2D9C1426" w:rsidR="00022E09" w:rsidRPr="00B31A4B" w:rsidRDefault="00622DC5" w:rsidP="00B31A4B">
      <w:pPr>
        <w:autoSpaceDE w:val="0"/>
        <w:autoSpaceDN w:val="0"/>
        <w:adjustRightInd w:val="0"/>
        <w:ind w:left="720"/>
        <w:jc w:val="both"/>
        <w:rPr>
          <w:rFonts w:ascii="Arial" w:hAnsi="Arial" w:cs="Arial"/>
          <w:color w:val="0000FF"/>
          <w:lang w:eastAsia="ja-JP"/>
        </w:rPr>
      </w:pPr>
      <w:r w:rsidRPr="00B31A4B">
        <w:rPr>
          <w:rFonts w:ascii="Arial" w:hAnsi="Arial" w:cs="Arial"/>
          <w:lang w:eastAsia="ja-JP"/>
        </w:rPr>
        <w:t xml:space="preserve">Ohio Rev. Code </w:t>
      </w:r>
      <w:r w:rsidR="00DF7907" w:rsidRPr="00F33BBE">
        <w:rPr>
          <w:rFonts w:ascii="Arial" w:hAnsi="Arial" w:cs="Arial"/>
          <w:lang w:eastAsia="ja-JP"/>
        </w:rPr>
        <w:t>§</w:t>
      </w:r>
      <w:r w:rsidRPr="00B31A4B">
        <w:rPr>
          <w:rFonts w:ascii="Arial" w:hAnsi="Arial" w:cs="Arial"/>
          <w:lang w:eastAsia="ja-JP"/>
        </w:rPr>
        <w:t xml:space="preserve"> 5739.09</w:t>
      </w:r>
      <w:r w:rsidR="000C4438">
        <w:rPr>
          <w:rFonts w:ascii="Arial" w:hAnsi="Arial" w:cs="Arial"/>
          <w:lang w:eastAsia="ja-JP"/>
        </w:rPr>
        <w:t>2</w:t>
      </w:r>
      <w:r w:rsidRPr="00B31A4B">
        <w:rPr>
          <w:rFonts w:ascii="Arial" w:hAnsi="Arial" w:cs="Arial"/>
          <w:lang w:eastAsia="ja-JP"/>
        </w:rPr>
        <w:t xml:space="preserve"> restricts the Bureau to spending lodging tax “</w:t>
      </w:r>
      <w:r w:rsidRPr="00B31A4B">
        <w:rPr>
          <w:rFonts w:ascii="Arial" w:hAnsi="Arial" w:cs="Arial"/>
        </w:rPr>
        <w:t>specifically for promotion, advertising, and marketing of the region in which the county is located</w:t>
      </w:r>
      <w:r w:rsidRPr="00B31A4B">
        <w:rPr>
          <w:rFonts w:ascii="Arial" w:hAnsi="Arial" w:cs="Arial"/>
          <w:lang w:eastAsia="ja-JP"/>
        </w:rPr>
        <w:t xml:space="preserve">.” </w:t>
      </w:r>
      <w:r w:rsidRPr="00B31A4B">
        <w:rPr>
          <w:rFonts w:ascii="Arial" w:hAnsi="Arial" w:cs="Arial"/>
          <w:b/>
          <w:i/>
          <w:color w:val="002060"/>
          <w:lang w:eastAsia="ja-JP"/>
        </w:rPr>
        <w:t xml:space="preserve"> </w:t>
      </w:r>
      <w:r w:rsidR="00E42F27" w:rsidRPr="00B31A4B">
        <w:rPr>
          <w:rFonts w:ascii="Arial" w:hAnsi="Arial" w:cs="Arial"/>
          <w:b/>
          <w:i/>
          <w:color w:val="002060"/>
          <w:lang w:eastAsia="ja-JP"/>
        </w:rPr>
        <w:t>[</w:t>
      </w:r>
      <w:r w:rsidRPr="00B31A4B">
        <w:rPr>
          <w:rFonts w:ascii="Arial" w:hAnsi="Arial" w:cs="Arial"/>
          <w:b/>
          <w:i/>
          <w:color w:val="002060"/>
          <w:lang w:eastAsia="ja-JP"/>
        </w:rPr>
        <w:t xml:space="preserve">&lt;&lt;&lt;Note:  This only applies to lodging taxes a </w:t>
      </w:r>
      <w:r w:rsidRPr="00B31A4B">
        <w:rPr>
          <w:rFonts w:ascii="Arial" w:hAnsi="Arial" w:cs="Arial"/>
          <w:b/>
          <w:i/>
          <w:color w:val="002060"/>
          <w:u w:val="single"/>
          <w:lang w:eastAsia="ja-JP"/>
        </w:rPr>
        <w:t>county</w:t>
      </w:r>
      <w:r w:rsidRPr="00B31A4B">
        <w:rPr>
          <w:rFonts w:ascii="Arial" w:hAnsi="Arial" w:cs="Arial"/>
          <w:b/>
          <w:i/>
          <w:color w:val="002060"/>
          <w:lang w:eastAsia="ja-JP"/>
        </w:rPr>
        <w:t xml:space="preserve"> pays to a CVB.  Otherwise delete.</w:t>
      </w:r>
      <w:r w:rsidR="00E42F27" w:rsidRPr="00B31A4B">
        <w:rPr>
          <w:rFonts w:ascii="Arial" w:hAnsi="Arial" w:cs="Arial"/>
          <w:b/>
          <w:i/>
          <w:color w:val="002060"/>
          <w:lang w:eastAsia="ja-JP"/>
        </w:rPr>
        <w:t>]</w:t>
      </w:r>
    </w:p>
    <w:p w14:paraId="08D8FA92" w14:textId="77777777" w:rsidR="00022E09" w:rsidRPr="00B31A4B" w:rsidRDefault="00022E09" w:rsidP="00B31A4B">
      <w:pPr>
        <w:autoSpaceDE w:val="0"/>
        <w:autoSpaceDN w:val="0"/>
        <w:adjustRightInd w:val="0"/>
        <w:ind w:left="720"/>
        <w:jc w:val="both"/>
        <w:rPr>
          <w:rFonts w:ascii="Arial" w:hAnsi="Arial" w:cs="Arial"/>
          <w:color w:val="0000FF"/>
          <w:lang w:eastAsia="ja-JP"/>
        </w:rPr>
      </w:pPr>
    </w:p>
    <w:p w14:paraId="70573DFF" w14:textId="77777777" w:rsidR="007F2421" w:rsidRDefault="007F2421" w:rsidP="007F2421">
      <w:pPr>
        <w:autoSpaceDE w:val="0"/>
        <w:autoSpaceDN w:val="0"/>
        <w:adjustRightInd w:val="0"/>
        <w:ind w:left="720"/>
        <w:jc w:val="both"/>
        <w:rPr>
          <w:rFonts w:ascii="Arial" w:hAnsi="Arial" w:cs="Arial"/>
          <w:lang w:eastAsia="ja-JP"/>
        </w:rPr>
      </w:pPr>
      <w:r>
        <w:rPr>
          <w:rFonts w:ascii="Arial" w:hAnsi="Arial" w:cs="Arial"/>
          <w:lang w:eastAsia="ja-JP"/>
        </w:rPr>
        <w:t>Auditor of State Bulletin 2003-005 concludes that disbursement of public funds (e.g. lodging taxes) for alcohol are generally improper.  However, Auditor of State Bulletin 2014-003 explains when sales of alcohol at public events are permissible.</w:t>
      </w:r>
    </w:p>
    <w:p w14:paraId="41E16443" w14:textId="77777777" w:rsidR="00022E09" w:rsidRPr="00B31A4B" w:rsidRDefault="00022E09" w:rsidP="00B31A4B">
      <w:pPr>
        <w:autoSpaceDE w:val="0"/>
        <w:autoSpaceDN w:val="0"/>
        <w:adjustRightInd w:val="0"/>
        <w:ind w:left="720"/>
        <w:jc w:val="both"/>
        <w:rPr>
          <w:rFonts w:ascii="Arial" w:hAnsi="Arial" w:cs="Arial"/>
          <w:lang w:eastAsia="ja-JP"/>
        </w:rPr>
      </w:pPr>
    </w:p>
    <w:p w14:paraId="7ED03FAB" w14:textId="77777777" w:rsidR="00022E09" w:rsidRPr="00B31A4B" w:rsidRDefault="00E42F27" w:rsidP="00B31A4B">
      <w:pPr>
        <w:autoSpaceDE w:val="0"/>
        <w:autoSpaceDN w:val="0"/>
        <w:adjustRightInd w:val="0"/>
        <w:ind w:left="720"/>
        <w:jc w:val="both"/>
        <w:rPr>
          <w:rFonts w:ascii="Arial" w:hAnsi="Arial" w:cs="Arial"/>
          <w:color w:val="0000FF"/>
          <w:lang w:eastAsia="ja-JP"/>
        </w:rPr>
      </w:pPr>
      <w:r w:rsidRPr="00B31A4B">
        <w:rPr>
          <w:rFonts w:ascii="Arial" w:hAnsi="Arial" w:cs="Arial"/>
          <w:color w:val="FF0000"/>
          <w:lang w:eastAsia="ja-JP"/>
        </w:rPr>
        <w:t>[</w:t>
      </w:r>
      <w:r w:rsidR="00622DC5" w:rsidRPr="00B31A4B">
        <w:rPr>
          <w:rFonts w:ascii="Arial" w:hAnsi="Arial" w:cs="Arial"/>
          <w:color w:val="FF0000"/>
          <w:lang w:eastAsia="ja-JP"/>
        </w:rPr>
        <w:t>Ordinance 99-007 permits the Bureau to spend lodging taxes only for [insert purpose].</w:t>
      </w:r>
      <w:r w:rsidRPr="00B31A4B">
        <w:rPr>
          <w:rFonts w:ascii="Arial" w:hAnsi="Arial" w:cs="Arial"/>
          <w:color w:val="FF0000"/>
          <w:lang w:eastAsia="ja-JP"/>
        </w:rPr>
        <w:t>]</w:t>
      </w:r>
      <w:r w:rsidR="00622DC5" w:rsidRPr="00B31A4B">
        <w:rPr>
          <w:rFonts w:ascii="Arial" w:hAnsi="Arial" w:cs="Arial"/>
          <w:color w:val="FF0000"/>
          <w:lang w:eastAsia="ja-JP"/>
        </w:rPr>
        <w:t xml:space="preserve"> </w:t>
      </w:r>
      <w:r w:rsidR="00622DC5" w:rsidRPr="00B31A4B">
        <w:rPr>
          <w:rFonts w:ascii="Arial" w:hAnsi="Arial" w:cs="Arial"/>
          <w:color w:val="0000FF"/>
          <w:lang w:eastAsia="ja-JP"/>
        </w:rPr>
        <w:t xml:space="preserve"> </w:t>
      </w:r>
      <w:r w:rsidRPr="00B31A4B">
        <w:rPr>
          <w:rFonts w:ascii="Arial" w:hAnsi="Arial" w:cs="Arial"/>
          <w:b/>
          <w:i/>
          <w:color w:val="002060"/>
          <w:lang w:eastAsia="ja-JP"/>
        </w:rPr>
        <w:t>[</w:t>
      </w:r>
      <w:r w:rsidR="007E7E74" w:rsidRPr="00B31A4B">
        <w:rPr>
          <w:rFonts w:ascii="Arial" w:hAnsi="Arial" w:cs="Arial"/>
          <w:b/>
          <w:i/>
          <w:color w:val="002060"/>
          <w:lang w:eastAsia="ja-JP"/>
        </w:rPr>
        <w:t>&lt;&lt;modify as needed.</w:t>
      </w:r>
      <w:r w:rsidRPr="00B31A4B">
        <w:rPr>
          <w:rFonts w:ascii="Arial" w:hAnsi="Arial" w:cs="Arial"/>
          <w:b/>
          <w:i/>
          <w:color w:val="002060"/>
          <w:lang w:eastAsia="ja-JP"/>
        </w:rPr>
        <w:t>]</w:t>
      </w:r>
      <w:r w:rsidR="007E7E74" w:rsidRPr="00B31A4B">
        <w:rPr>
          <w:rFonts w:ascii="Arial" w:hAnsi="Arial" w:cs="Arial"/>
          <w:color w:val="0000FF"/>
          <w:lang w:eastAsia="ja-JP"/>
        </w:rPr>
        <w:t xml:space="preserve">  </w:t>
      </w:r>
    </w:p>
    <w:p w14:paraId="16278174" w14:textId="77777777" w:rsidR="00022E09" w:rsidRPr="00B31A4B" w:rsidRDefault="00022E09" w:rsidP="00B31A4B">
      <w:pPr>
        <w:autoSpaceDE w:val="0"/>
        <w:autoSpaceDN w:val="0"/>
        <w:adjustRightInd w:val="0"/>
        <w:ind w:left="720"/>
        <w:jc w:val="both"/>
        <w:rPr>
          <w:rFonts w:ascii="Arial" w:hAnsi="Arial" w:cs="Arial"/>
          <w:color w:val="0000FF"/>
          <w:lang w:eastAsia="ja-JP"/>
        </w:rPr>
      </w:pPr>
    </w:p>
    <w:p w14:paraId="049DFC36" w14:textId="77777777" w:rsidR="00022E09" w:rsidRPr="00B31A4B" w:rsidRDefault="00E42F27" w:rsidP="00B31A4B">
      <w:pPr>
        <w:autoSpaceDE w:val="0"/>
        <w:autoSpaceDN w:val="0"/>
        <w:adjustRightInd w:val="0"/>
        <w:ind w:left="720"/>
        <w:jc w:val="both"/>
        <w:rPr>
          <w:rFonts w:ascii="Arial" w:hAnsi="Arial" w:cs="Arial"/>
          <w:b/>
          <w:i/>
          <w:color w:val="002060"/>
          <w:lang w:eastAsia="ja-JP"/>
        </w:rPr>
      </w:pPr>
      <w:r w:rsidRPr="00B31A4B">
        <w:rPr>
          <w:rFonts w:ascii="Arial" w:hAnsi="Arial" w:cs="Arial"/>
          <w:b/>
          <w:i/>
          <w:color w:val="002060"/>
          <w:lang w:eastAsia="ja-JP"/>
        </w:rPr>
        <w:t>[</w:t>
      </w:r>
      <w:r w:rsidR="007E7E74" w:rsidRPr="00B31A4B">
        <w:rPr>
          <w:rFonts w:ascii="Arial" w:hAnsi="Arial" w:cs="Arial"/>
          <w:b/>
          <w:i/>
          <w:color w:val="002060"/>
          <w:lang w:eastAsia="ja-JP"/>
        </w:rPr>
        <w:t>Insert other significant restrictions as needed.</w:t>
      </w:r>
      <w:r w:rsidRPr="00B31A4B">
        <w:rPr>
          <w:rFonts w:ascii="Arial" w:hAnsi="Arial" w:cs="Arial"/>
          <w:b/>
          <w:i/>
          <w:color w:val="002060"/>
          <w:lang w:eastAsia="ja-JP"/>
        </w:rPr>
        <w:t>]</w:t>
      </w:r>
    </w:p>
    <w:p w14:paraId="3BE15884" w14:textId="77777777" w:rsidR="00022E09" w:rsidRPr="00B31A4B" w:rsidRDefault="00022E09" w:rsidP="00B31A4B">
      <w:pPr>
        <w:autoSpaceDE w:val="0"/>
        <w:autoSpaceDN w:val="0"/>
        <w:adjustRightInd w:val="0"/>
        <w:ind w:left="720"/>
        <w:jc w:val="both"/>
        <w:rPr>
          <w:rFonts w:ascii="Arial" w:hAnsi="Arial" w:cs="Arial"/>
          <w:lang w:eastAsia="ja-JP"/>
        </w:rPr>
      </w:pPr>
    </w:p>
    <w:p w14:paraId="3510A2EC" w14:textId="431A975C" w:rsidR="00F853E1" w:rsidRPr="00B31A4B" w:rsidRDefault="00C179F8" w:rsidP="00B31A4B">
      <w:pPr>
        <w:autoSpaceDE w:val="0"/>
        <w:autoSpaceDN w:val="0"/>
        <w:adjustRightInd w:val="0"/>
        <w:ind w:left="720"/>
        <w:jc w:val="both"/>
        <w:rPr>
          <w:rFonts w:ascii="Arial" w:hAnsi="Arial" w:cs="Arial"/>
          <w:color w:val="FF0000"/>
          <w:lang w:eastAsia="ja-JP"/>
        </w:rPr>
      </w:pPr>
      <w:r w:rsidRPr="00B31A4B">
        <w:rPr>
          <w:rFonts w:ascii="Arial" w:hAnsi="Arial" w:cs="Arial"/>
          <w:lang w:eastAsia="ja-JP"/>
        </w:rPr>
        <w:t xml:space="preserve">We </w:t>
      </w:r>
      <w:r w:rsidR="00726BDA" w:rsidRPr="00B31A4B">
        <w:rPr>
          <w:rFonts w:ascii="Arial" w:hAnsi="Arial" w:cs="Arial"/>
          <w:lang w:eastAsia="ja-JP"/>
        </w:rPr>
        <w:t xml:space="preserve">selected </w:t>
      </w:r>
      <w:r w:rsidR="00324DAA" w:rsidRPr="00B31A4B">
        <w:rPr>
          <w:rFonts w:ascii="Arial" w:hAnsi="Arial" w:cs="Arial"/>
          <w:lang w:eastAsia="ja-JP"/>
        </w:rPr>
        <w:t xml:space="preserve">10 </w:t>
      </w:r>
      <w:r w:rsidR="00726BDA" w:rsidRPr="00B31A4B">
        <w:rPr>
          <w:rFonts w:ascii="Arial" w:hAnsi="Arial" w:cs="Arial"/>
          <w:lang w:eastAsia="ja-JP"/>
        </w:rPr>
        <w:t xml:space="preserve">disbursements </w:t>
      </w:r>
      <w:r w:rsidR="0059636F" w:rsidRPr="00B31A4B">
        <w:rPr>
          <w:rFonts w:ascii="Arial" w:hAnsi="Arial" w:cs="Arial"/>
          <w:lang w:eastAsia="ja-JP"/>
        </w:rPr>
        <w:t xml:space="preserve">of lodging taxes </w:t>
      </w:r>
      <w:r w:rsidR="00A73A90" w:rsidRPr="00B31A4B">
        <w:rPr>
          <w:rFonts w:ascii="Arial" w:hAnsi="Arial" w:cs="Arial"/>
          <w:lang w:eastAsia="ja-JP"/>
        </w:rPr>
        <w:t>from</w:t>
      </w:r>
      <w:r w:rsidR="0055243C" w:rsidRPr="00B31A4B">
        <w:rPr>
          <w:rFonts w:ascii="Arial" w:hAnsi="Arial" w:cs="Arial"/>
          <w:lang w:eastAsia="ja-JP"/>
        </w:rPr>
        <w:t xml:space="preserve"> the </w:t>
      </w:r>
      <w:r w:rsidR="00324DAA" w:rsidRPr="00B31A4B">
        <w:rPr>
          <w:rFonts w:ascii="Arial" w:hAnsi="Arial" w:cs="Arial"/>
          <w:color w:val="FF0000"/>
          <w:lang w:eastAsia="ja-JP"/>
        </w:rPr>
        <w:t>[</w:t>
      </w:r>
      <w:r w:rsidR="00324DAA" w:rsidRPr="00B31A4B">
        <w:rPr>
          <w:rFonts w:ascii="Arial" w:hAnsi="Arial" w:cs="Arial"/>
          <w:color w:val="FF0000"/>
        </w:rPr>
        <w:t>Payment Register Detail Report</w:t>
      </w:r>
      <w:r w:rsidR="00324DAA" w:rsidRPr="00B31A4B">
        <w:rPr>
          <w:rFonts w:ascii="Arial" w:hAnsi="Arial" w:cs="Arial"/>
          <w:color w:val="FF0000"/>
          <w:lang w:eastAsia="ja-JP"/>
        </w:rPr>
        <w:t xml:space="preserve">] for the </w:t>
      </w:r>
      <w:r w:rsidR="0055243C" w:rsidRPr="00B31A4B">
        <w:rPr>
          <w:rFonts w:ascii="Arial" w:hAnsi="Arial" w:cs="Arial"/>
          <w:lang w:eastAsia="ja-JP"/>
        </w:rPr>
        <w:t>year ende</w:t>
      </w:r>
      <w:r w:rsidR="006F676C" w:rsidRPr="00B31A4B">
        <w:rPr>
          <w:rFonts w:ascii="Arial" w:hAnsi="Arial" w:cs="Arial"/>
          <w:lang w:eastAsia="ja-JP"/>
        </w:rPr>
        <w:t xml:space="preserve">d December 31, </w:t>
      </w:r>
      <w:r w:rsidR="00F13D85">
        <w:rPr>
          <w:rFonts w:ascii="Arial" w:hAnsi="Arial" w:cs="Arial"/>
          <w:lang w:eastAsia="ja-JP"/>
        </w:rPr>
        <w:t>2023</w:t>
      </w:r>
      <w:r w:rsidR="00777868">
        <w:rPr>
          <w:rFonts w:ascii="Arial" w:hAnsi="Arial" w:cs="Arial"/>
          <w:lang w:eastAsia="ja-JP"/>
        </w:rPr>
        <w:t xml:space="preserve"> </w:t>
      </w:r>
      <w:r w:rsidR="006F676C" w:rsidRPr="00B31A4B">
        <w:rPr>
          <w:rFonts w:ascii="Arial" w:hAnsi="Arial" w:cs="Arial"/>
          <w:lang w:eastAsia="ja-JP"/>
        </w:rPr>
        <w:t xml:space="preserve">and </w:t>
      </w:r>
      <w:r w:rsidR="00324DAA" w:rsidRPr="00B31A4B">
        <w:rPr>
          <w:rFonts w:ascii="Arial" w:hAnsi="Arial" w:cs="Arial"/>
          <w:lang w:eastAsia="ja-JP"/>
        </w:rPr>
        <w:t xml:space="preserve">10 disbursements from </w:t>
      </w:r>
      <w:r w:rsidR="00F13D85">
        <w:rPr>
          <w:rFonts w:ascii="Arial" w:hAnsi="Arial" w:cs="Arial"/>
          <w:lang w:eastAsia="ja-JP"/>
        </w:rPr>
        <w:t>2022</w:t>
      </w:r>
      <w:r w:rsidR="006F676C" w:rsidRPr="00B31A4B">
        <w:rPr>
          <w:rFonts w:ascii="Arial" w:hAnsi="Arial" w:cs="Arial"/>
          <w:lang w:eastAsia="ja-JP"/>
        </w:rPr>
        <w:t xml:space="preserve"> </w:t>
      </w:r>
      <w:r w:rsidR="00726BDA" w:rsidRPr="00B31A4B">
        <w:rPr>
          <w:rFonts w:ascii="Arial" w:hAnsi="Arial" w:cs="Arial"/>
          <w:lang w:eastAsia="ja-JP"/>
        </w:rPr>
        <w:t xml:space="preserve">and </w:t>
      </w:r>
      <w:r w:rsidR="00541CAE" w:rsidRPr="00B31A4B">
        <w:rPr>
          <w:rFonts w:ascii="Arial" w:hAnsi="Arial" w:cs="Arial"/>
          <w:lang w:eastAsia="ja-JP"/>
        </w:rPr>
        <w:t>compared</w:t>
      </w:r>
      <w:r w:rsidR="00024545" w:rsidRPr="00B31A4B">
        <w:rPr>
          <w:rFonts w:ascii="Arial" w:hAnsi="Arial" w:cs="Arial"/>
          <w:lang w:eastAsia="ja-JP"/>
        </w:rPr>
        <w:t xml:space="preserve"> the purpose </w:t>
      </w:r>
      <w:r w:rsidR="00541CAE" w:rsidRPr="00B31A4B">
        <w:rPr>
          <w:rFonts w:ascii="Arial" w:hAnsi="Arial" w:cs="Arial"/>
          <w:lang w:eastAsia="ja-JP"/>
        </w:rPr>
        <w:t>for</w:t>
      </w:r>
      <w:r w:rsidR="00024545" w:rsidRPr="00B31A4B">
        <w:rPr>
          <w:rFonts w:ascii="Arial" w:hAnsi="Arial" w:cs="Arial"/>
          <w:lang w:eastAsia="ja-JP"/>
        </w:rPr>
        <w:t xml:space="preserve"> the</w:t>
      </w:r>
      <w:r w:rsidR="00541CAE" w:rsidRPr="00B31A4B">
        <w:rPr>
          <w:rFonts w:ascii="Arial" w:hAnsi="Arial" w:cs="Arial"/>
          <w:lang w:eastAsia="ja-JP"/>
        </w:rPr>
        <w:t>se</w:t>
      </w:r>
      <w:r w:rsidR="00024545" w:rsidRPr="00B31A4B">
        <w:rPr>
          <w:rFonts w:ascii="Arial" w:hAnsi="Arial" w:cs="Arial"/>
          <w:lang w:eastAsia="ja-JP"/>
        </w:rPr>
        <w:t xml:space="preserve"> disbursements as documented on vendor invoices or other supporting documentation to the sources of restrictions listed in </w:t>
      </w:r>
      <w:r w:rsidR="00024545" w:rsidRPr="00B31A4B">
        <w:rPr>
          <w:rFonts w:ascii="Arial" w:hAnsi="Arial" w:cs="Arial"/>
          <w:i/>
          <w:lang w:eastAsia="ja-JP"/>
        </w:rPr>
        <w:t>Cash Disbursements Step 1</w:t>
      </w:r>
      <w:r w:rsidR="00024545" w:rsidRPr="00B31A4B">
        <w:rPr>
          <w:rFonts w:ascii="Arial" w:hAnsi="Arial" w:cs="Arial"/>
          <w:lang w:eastAsia="ja-JP"/>
        </w:rPr>
        <w:t xml:space="preserve"> above.  </w:t>
      </w:r>
      <w:r w:rsidR="00324DAA" w:rsidRPr="00B31A4B">
        <w:rPr>
          <w:rFonts w:ascii="Arial" w:hAnsi="Arial" w:cs="Arial"/>
          <w:color w:val="FF0000"/>
          <w:lang w:eastAsia="ja-JP"/>
        </w:rPr>
        <w:t>[</w:t>
      </w:r>
      <w:r w:rsidR="00024545" w:rsidRPr="00B31A4B">
        <w:rPr>
          <w:rFonts w:ascii="Arial" w:hAnsi="Arial" w:cs="Arial"/>
          <w:lang w:eastAsia="ja-JP"/>
        </w:rPr>
        <w:t xml:space="preserve">We found no instances where the purpose described on the invoice or other supporting documentation </w:t>
      </w:r>
      <w:r w:rsidR="00A73A90" w:rsidRPr="00B31A4B">
        <w:rPr>
          <w:rFonts w:ascii="Arial" w:hAnsi="Arial" w:cs="Arial"/>
          <w:lang w:eastAsia="ja-JP"/>
        </w:rPr>
        <w:t xml:space="preserve">described a </w:t>
      </w:r>
      <w:r w:rsidR="00024545" w:rsidRPr="00B31A4B">
        <w:rPr>
          <w:rFonts w:ascii="Arial" w:hAnsi="Arial" w:cs="Arial"/>
          <w:lang w:eastAsia="ja-JP"/>
        </w:rPr>
        <w:t>violat</w:t>
      </w:r>
      <w:r w:rsidR="00A73A90" w:rsidRPr="00B31A4B">
        <w:rPr>
          <w:rFonts w:ascii="Arial" w:hAnsi="Arial" w:cs="Arial"/>
          <w:lang w:eastAsia="ja-JP"/>
        </w:rPr>
        <w:t>ion</w:t>
      </w:r>
      <w:r w:rsidR="00024545" w:rsidRPr="00B31A4B">
        <w:rPr>
          <w:rFonts w:ascii="Arial" w:hAnsi="Arial" w:cs="Arial"/>
          <w:lang w:eastAsia="ja-JP"/>
        </w:rPr>
        <w:t xml:space="preserve"> the restrictions listed above.</w:t>
      </w:r>
      <w:r w:rsidR="00324DAA" w:rsidRPr="00B31A4B">
        <w:rPr>
          <w:rFonts w:ascii="Arial" w:hAnsi="Arial" w:cs="Arial"/>
          <w:color w:val="FF0000"/>
          <w:lang w:eastAsia="ja-JP"/>
        </w:rPr>
        <w:t xml:space="preserve">] </w:t>
      </w:r>
      <w:r w:rsidR="00324DAA" w:rsidRPr="00B31A4B">
        <w:rPr>
          <w:rFonts w:ascii="Arial" w:hAnsi="Arial" w:cs="Arial"/>
          <w:b/>
          <w:i/>
          <w:color w:val="002060"/>
        </w:rPr>
        <w:t xml:space="preserve">OR </w:t>
      </w:r>
      <w:r w:rsidR="00024545" w:rsidRPr="00B31A4B">
        <w:rPr>
          <w:rFonts w:ascii="Arial" w:hAnsi="Arial" w:cs="Arial"/>
          <w:color w:val="FF0000"/>
          <w:lang w:eastAsia="ja-JP"/>
        </w:rPr>
        <w:t xml:space="preserve">[We found </w:t>
      </w:r>
      <w:r w:rsidR="00F13D85">
        <w:rPr>
          <w:rFonts w:ascii="Arial" w:hAnsi="Arial" w:cs="Arial"/>
          <w:color w:val="FF0000"/>
          <w:lang w:eastAsia="ja-JP"/>
        </w:rPr>
        <w:t>1</w:t>
      </w:r>
      <w:r w:rsidR="00F13D85" w:rsidRPr="00B31A4B">
        <w:rPr>
          <w:rFonts w:ascii="Arial" w:hAnsi="Arial" w:cs="Arial"/>
          <w:color w:val="FF0000"/>
          <w:lang w:eastAsia="ja-JP"/>
        </w:rPr>
        <w:t xml:space="preserve"> </w:t>
      </w:r>
      <w:r w:rsidR="00024545" w:rsidRPr="00B31A4B">
        <w:rPr>
          <w:rFonts w:ascii="Arial" w:hAnsi="Arial" w:cs="Arial"/>
          <w:color w:val="FF0000"/>
          <w:lang w:eastAsia="ja-JP"/>
        </w:rPr>
        <w:t>exception: The Bureau issued Check No. 456 for $1,876 to pay for [insert frivolous purpose].  Neither Ordinance</w:t>
      </w:r>
      <w:r w:rsidR="00541CAE" w:rsidRPr="00B31A4B">
        <w:rPr>
          <w:rFonts w:ascii="Arial" w:hAnsi="Arial" w:cs="Arial"/>
          <w:color w:val="FF0000"/>
          <w:lang w:eastAsia="ja-JP"/>
        </w:rPr>
        <w:t xml:space="preserve"> 99-007</w:t>
      </w:r>
      <w:r w:rsidR="00024545" w:rsidRPr="00B31A4B">
        <w:rPr>
          <w:rFonts w:ascii="Arial" w:hAnsi="Arial" w:cs="Arial"/>
          <w:color w:val="FF0000"/>
          <w:lang w:eastAsia="ja-JP"/>
        </w:rPr>
        <w:t xml:space="preserve"> nor Ohio Rev. Code</w:t>
      </w:r>
      <w:r w:rsidR="00DF7907">
        <w:rPr>
          <w:rFonts w:ascii="Arial" w:hAnsi="Arial" w:cs="Arial"/>
          <w:color w:val="FF0000"/>
          <w:lang w:eastAsia="ja-JP"/>
        </w:rPr>
        <w:t xml:space="preserve"> </w:t>
      </w:r>
      <w:r w:rsidR="00DF7907" w:rsidRPr="00DF7907">
        <w:rPr>
          <w:rFonts w:ascii="Arial" w:hAnsi="Arial" w:cs="Arial"/>
          <w:color w:val="FF0000"/>
          <w:lang w:eastAsia="ja-JP"/>
        </w:rPr>
        <w:t>§</w:t>
      </w:r>
      <w:r w:rsidR="00DF7907">
        <w:rPr>
          <w:rFonts w:ascii="Arial" w:hAnsi="Arial" w:cs="Arial"/>
          <w:color w:val="FF0000"/>
          <w:lang w:eastAsia="ja-JP"/>
        </w:rPr>
        <w:t xml:space="preserve"> </w:t>
      </w:r>
      <w:r w:rsidR="00024545" w:rsidRPr="00B31A4B">
        <w:rPr>
          <w:rFonts w:ascii="Arial" w:hAnsi="Arial" w:cs="Arial"/>
          <w:color w:val="FF0000"/>
          <w:lang w:eastAsia="ja-JP"/>
        </w:rPr>
        <w:t>5739.09(</w:t>
      </w:r>
      <w:r w:rsidR="00D24DE7" w:rsidRPr="00B31A4B">
        <w:rPr>
          <w:rFonts w:ascii="Arial" w:hAnsi="Arial" w:cs="Arial"/>
          <w:color w:val="FF0000"/>
          <w:lang w:eastAsia="ja-JP"/>
        </w:rPr>
        <w:t>J</w:t>
      </w:r>
      <w:r w:rsidR="00024545" w:rsidRPr="00B31A4B">
        <w:rPr>
          <w:rFonts w:ascii="Arial" w:hAnsi="Arial" w:cs="Arial"/>
          <w:color w:val="FF0000"/>
          <w:lang w:eastAsia="ja-JP"/>
        </w:rPr>
        <w:t>) permit using lodging taxes for this purpose. Accordingly, we are hereby issuing a finding for recovery . . .(etc.)</w:t>
      </w:r>
      <w:r w:rsidR="00C5500B" w:rsidRPr="00B31A4B">
        <w:rPr>
          <w:rFonts w:ascii="Arial" w:hAnsi="Arial" w:cs="Arial"/>
          <w:color w:val="FF0000"/>
          <w:lang w:eastAsia="ja-JP"/>
        </w:rPr>
        <w:t>.</w:t>
      </w:r>
      <w:r w:rsidR="00024545" w:rsidRPr="00B31A4B">
        <w:rPr>
          <w:rFonts w:ascii="Arial" w:hAnsi="Arial" w:cs="Arial"/>
          <w:color w:val="FF0000"/>
          <w:lang w:eastAsia="ja-JP"/>
        </w:rPr>
        <w:t>]</w:t>
      </w:r>
    </w:p>
    <w:p w14:paraId="23655C41" w14:textId="1A61CEFD" w:rsidR="005C1365" w:rsidRPr="00B31A4B" w:rsidRDefault="005C1365" w:rsidP="00B31A4B">
      <w:pPr>
        <w:autoSpaceDE w:val="0"/>
        <w:autoSpaceDN w:val="0"/>
        <w:adjustRightInd w:val="0"/>
        <w:ind w:left="720"/>
        <w:jc w:val="both"/>
        <w:rPr>
          <w:rFonts w:ascii="Arial" w:hAnsi="Arial" w:cs="Arial"/>
          <w:color w:val="FF0000"/>
          <w:lang w:eastAsia="ja-JP"/>
        </w:rPr>
      </w:pPr>
    </w:p>
    <w:p w14:paraId="4EDA95AD" w14:textId="7C81013E" w:rsidR="00BF73AB" w:rsidRPr="00A854F0" w:rsidRDefault="00E42F27" w:rsidP="00BF73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161"/>
          <w:lang w:eastAsia="ja-JP"/>
        </w:rPr>
      </w:pPr>
      <w:r w:rsidRPr="00A854F0">
        <w:rPr>
          <w:rFonts w:ascii="Arial" w:hAnsi="Arial" w:cs="Arial"/>
          <w:b/>
          <w:i/>
          <w:color w:val="002161"/>
          <w:lang w:eastAsia="ja-JP"/>
        </w:rPr>
        <w:t xml:space="preserve">[Insert the following paragraph if the </w:t>
      </w:r>
      <w:r w:rsidR="001A3B3B" w:rsidRPr="00A854F0">
        <w:rPr>
          <w:rFonts w:ascii="Arial" w:hAnsi="Arial" w:cs="Arial"/>
          <w:b/>
          <w:i/>
          <w:color w:val="002161"/>
          <w:lang w:eastAsia="ja-JP"/>
        </w:rPr>
        <w:t>Bureau</w:t>
      </w:r>
      <w:r w:rsidRPr="00A854F0">
        <w:rPr>
          <w:rFonts w:ascii="Arial" w:hAnsi="Arial" w:cs="Arial"/>
          <w:b/>
          <w:i/>
          <w:color w:val="002161"/>
          <w:lang w:eastAsia="ja-JP"/>
        </w:rPr>
        <w:t xml:space="preserve"> declines to provide us written representations</w:t>
      </w:r>
      <w:r w:rsidR="00BF73AB" w:rsidRPr="00A854F0">
        <w:rPr>
          <w:rFonts w:ascii="Arial" w:hAnsi="Arial" w:cs="Arial"/>
          <w:b/>
          <w:i/>
          <w:color w:val="002161"/>
          <w:lang w:eastAsia="ja-JP"/>
        </w:rPr>
        <w:t xml:space="preserve"> but has provided suitable written agreement </w:t>
      </w:r>
      <w:r w:rsidR="00BF73AB" w:rsidRPr="00A854F0">
        <w:rPr>
          <w:rFonts w:ascii="Arial" w:hAnsi="Arial" w:cs="Arial"/>
          <w:b/>
          <w:color w:val="002161"/>
        </w:rPr>
        <w:t>of the procedures and acknowledged that the procedures performed are appropriate to meet the intended purpose of the engagement</w:t>
      </w:r>
      <w:r w:rsidR="00BF73AB" w:rsidRPr="00A854F0">
        <w:rPr>
          <w:rFonts w:ascii="Arial" w:hAnsi="Arial" w:cs="Arial"/>
          <w:b/>
          <w:i/>
          <w:color w:val="002161"/>
          <w:lang w:eastAsia="ja-JP"/>
        </w:rPr>
        <w:t>: AOS auditors should also see additional guidance in the representation letter.]</w:t>
      </w:r>
    </w:p>
    <w:p w14:paraId="1D9A4C87" w14:textId="78710121" w:rsidR="00E42F27" w:rsidRPr="00B31A4B" w:rsidRDefault="00E42F27"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r w:rsidRPr="00B31A4B">
        <w:rPr>
          <w:rFonts w:ascii="Arial" w:hAnsi="Arial" w:cs="Arial"/>
          <w:lang w:eastAsia="ja-JP"/>
        </w:rPr>
        <w:t xml:space="preserve">Attestation standards established by the American Institute of Certified Public Accountants require that we request </w:t>
      </w:r>
      <w:r w:rsidR="00106739">
        <w:rPr>
          <w:rFonts w:ascii="Arial" w:hAnsi="Arial" w:cs="Arial"/>
          <w:lang w:eastAsia="ja-JP"/>
        </w:rPr>
        <w:t>certain required written representations</w:t>
      </w:r>
      <w:r w:rsidRPr="00B31A4B">
        <w:rPr>
          <w:rFonts w:ascii="Arial" w:hAnsi="Arial" w:cs="Arial"/>
          <w:lang w:eastAsia="ja-JP"/>
        </w:rPr>
        <w:t xml:space="preserve"> from the </w:t>
      </w:r>
      <w:r w:rsidR="001A3B3B" w:rsidRPr="00B31A4B">
        <w:rPr>
          <w:rFonts w:ascii="Arial" w:hAnsi="Arial" w:cs="Arial"/>
          <w:lang w:eastAsia="ja-JP"/>
        </w:rPr>
        <w:t>Bureau</w:t>
      </w:r>
      <w:r w:rsidRPr="00B31A4B">
        <w:rPr>
          <w:rFonts w:ascii="Arial" w:hAnsi="Arial" w:cs="Arial"/>
          <w:lang w:eastAsia="ja-JP"/>
        </w:rPr>
        <w:t xml:space="preserve">.  We requested that the </w:t>
      </w:r>
      <w:r w:rsidR="001A3B3B" w:rsidRPr="00B31A4B">
        <w:rPr>
          <w:rFonts w:ascii="Arial" w:hAnsi="Arial" w:cs="Arial"/>
          <w:lang w:eastAsia="ja-JP"/>
        </w:rPr>
        <w:t>Bureau</w:t>
      </w:r>
      <w:r w:rsidRPr="00B31A4B">
        <w:rPr>
          <w:rFonts w:ascii="Arial" w:hAnsi="Arial" w:cs="Arial"/>
          <w:lang w:eastAsia="ja-JP"/>
        </w:rPr>
        <w:t xml:space="preserve"> provide such </w:t>
      </w:r>
      <w:r w:rsidR="00106739">
        <w:rPr>
          <w:rFonts w:ascii="Arial" w:hAnsi="Arial" w:cs="Arial"/>
          <w:lang w:eastAsia="ja-JP"/>
        </w:rPr>
        <w:t>representations</w:t>
      </w:r>
      <w:r w:rsidRPr="00B31A4B">
        <w:rPr>
          <w:rFonts w:ascii="Arial" w:hAnsi="Arial" w:cs="Arial"/>
          <w:lang w:eastAsia="ja-JP"/>
        </w:rPr>
        <w:t xml:space="preserve"> but the </w:t>
      </w:r>
      <w:r w:rsidR="000C21CA">
        <w:rPr>
          <w:rFonts w:ascii="Arial" w:hAnsi="Arial" w:cs="Arial"/>
          <w:lang w:eastAsia="ja-JP"/>
        </w:rPr>
        <w:t>T</w:t>
      </w:r>
      <w:r w:rsidRPr="00B31A4B">
        <w:rPr>
          <w:rFonts w:ascii="Arial" w:hAnsi="Arial" w:cs="Arial"/>
          <w:lang w:eastAsia="ja-JP"/>
        </w:rPr>
        <w:t>rustees and/or fiscal officer refused to do so</w:t>
      </w:r>
      <w:r w:rsidRPr="00B31A4B">
        <w:rPr>
          <w:rFonts w:ascii="Arial" w:hAnsi="Arial" w:cs="Arial"/>
          <w:color w:val="548DD4" w:themeColor="text2" w:themeTint="99"/>
          <w:lang w:eastAsia="ja-JP"/>
        </w:rPr>
        <w:t>.</w:t>
      </w:r>
    </w:p>
    <w:p w14:paraId="43768FEA" w14:textId="77777777" w:rsidR="00E42F27" w:rsidRPr="00B31A4B" w:rsidRDefault="00E42F27" w:rsidP="00B31A4B">
      <w:pPr>
        <w:jc w:val="both"/>
        <w:rPr>
          <w:rFonts w:ascii="Arial" w:hAnsi="Arial" w:cs="Arial"/>
          <w:b/>
          <w:i/>
          <w:color w:val="002060"/>
          <w:lang w:eastAsia="ja-JP"/>
        </w:rPr>
      </w:pPr>
      <w:r w:rsidRPr="00B31A4B">
        <w:rPr>
          <w:rFonts w:ascii="Arial" w:hAnsi="Arial" w:cs="Arial"/>
          <w:b/>
          <w:i/>
          <w:color w:val="002060"/>
          <w:lang w:eastAsia="ja-JP"/>
        </w:rPr>
        <w:t xml:space="preserve"> </w:t>
      </w:r>
    </w:p>
    <w:p w14:paraId="4E337AD9" w14:textId="6EEDBB9E" w:rsidR="00022E09" w:rsidRPr="00B31A4B" w:rsidRDefault="00BF73AB" w:rsidP="005B1231">
      <w:pPr>
        <w:jc w:val="both"/>
        <w:rPr>
          <w:rFonts w:ascii="Arial" w:hAnsi="Arial" w:cs="Arial"/>
          <w:lang w:eastAsia="ja-JP"/>
        </w:rPr>
      </w:pPr>
      <w:r w:rsidRPr="005B1231">
        <w:rPr>
          <w:rFonts w:ascii="Arial" w:hAnsi="Arial" w:cs="Arial"/>
          <w:lang w:eastAsia="ja-JP"/>
        </w:rPr>
        <w:lastRenderedPageBreak/>
        <w:t>We were engaged by the</w:t>
      </w:r>
      <w:r w:rsidR="00A165EB" w:rsidRPr="00BF73AB">
        <w:rPr>
          <w:rFonts w:ascii="Arial" w:hAnsi="Arial" w:cs="Arial"/>
          <w:lang w:eastAsia="ja-JP"/>
        </w:rPr>
        <w:t xml:space="preserve"> </w:t>
      </w:r>
      <w:r w:rsidR="00E42F27" w:rsidRPr="00BF73AB">
        <w:rPr>
          <w:rFonts w:ascii="Arial" w:hAnsi="Arial" w:cs="Arial"/>
          <w:lang w:eastAsia="ja-JP"/>
        </w:rPr>
        <w:t>Bureau</w:t>
      </w:r>
      <w:r w:rsidR="00A165EB" w:rsidRPr="00B31A4B">
        <w:rPr>
          <w:rFonts w:ascii="Arial" w:hAnsi="Arial" w:cs="Arial"/>
          <w:lang w:eastAsia="ja-JP"/>
        </w:rPr>
        <w:t xml:space="preserve"> </w:t>
      </w:r>
      <w:r>
        <w:rPr>
          <w:rFonts w:ascii="Arial" w:hAnsi="Arial" w:cs="Arial"/>
          <w:lang w:eastAsia="ja-JP"/>
        </w:rPr>
        <w:t>to perform</w:t>
      </w:r>
      <w:r w:rsidR="00E42F27" w:rsidRPr="00B31A4B">
        <w:rPr>
          <w:rFonts w:ascii="Arial" w:hAnsi="Arial" w:cs="Arial"/>
          <w:lang w:eastAsia="ja-JP"/>
        </w:rPr>
        <w:t xml:space="preserve"> this </w:t>
      </w:r>
      <w:r w:rsidR="00652C08" w:rsidRPr="00B31A4B">
        <w:rPr>
          <w:rFonts w:ascii="Arial" w:hAnsi="Arial" w:cs="Arial"/>
          <w:lang w:eastAsia="ja-JP"/>
        </w:rPr>
        <w:t xml:space="preserve">agreed-upon procedures engagement </w:t>
      </w:r>
      <w:r>
        <w:rPr>
          <w:rFonts w:ascii="Arial" w:hAnsi="Arial" w:cs="Arial"/>
          <w:lang w:eastAsia="ja-JP"/>
        </w:rPr>
        <w:t xml:space="preserve">and </w:t>
      </w:r>
      <w:r w:rsidR="00652C08" w:rsidRPr="00B31A4B">
        <w:rPr>
          <w:rFonts w:ascii="Arial" w:hAnsi="Arial" w:cs="Arial"/>
          <w:lang w:eastAsia="ja-JP"/>
        </w:rPr>
        <w:t xml:space="preserve">conducted </w:t>
      </w:r>
      <w:r>
        <w:rPr>
          <w:rFonts w:ascii="Arial" w:hAnsi="Arial" w:cs="Arial"/>
          <w:lang w:eastAsia="ja-JP"/>
        </w:rPr>
        <w:t xml:space="preserve">our engagement </w:t>
      </w:r>
      <w:r w:rsidR="00652C08" w:rsidRPr="00B31A4B">
        <w:rPr>
          <w:rFonts w:ascii="Arial" w:hAnsi="Arial" w:cs="Arial"/>
          <w:lang w:eastAsia="ja-JP"/>
        </w:rPr>
        <w:t xml:space="preserve">in accordance with the attestation standards </w:t>
      </w:r>
      <w:r>
        <w:rPr>
          <w:rFonts w:ascii="Arial" w:hAnsi="Arial" w:cs="Arial"/>
          <w:lang w:eastAsia="ja-JP"/>
        </w:rPr>
        <w:t xml:space="preserve">established by the AICPA </w:t>
      </w:r>
      <w:r w:rsidR="00652C08" w:rsidRPr="00B31A4B">
        <w:rPr>
          <w:rFonts w:ascii="Arial" w:hAnsi="Arial" w:cs="Arial"/>
          <w:lang w:eastAsia="ja-JP"/>
        </w:rPr>
        <w:t xml:space="preserve">and the Comptroller General of the United States’ </w:t>
      </w:r>
      <w:r w:rsidR="00652C08" w:rsidRPr="00B31A4B">
        <w:rPr>
          <w:rFonts w:ascii="Arial" w:hAnsi="Arial" w:cs="Arial"/>
          <w:i/>
          <w:lang w:eastAsia="ja-JP"/>
        </w:rPr>
        <w:t>Government Auditing Standards</w:t>
      </w:r>
      <w:r w:rsidR="00652C08" w:rsidRPr="00B31A4B">
        <w:rPr>
          <w:rFonts w:ascii="Arial" w:hAnsi="Arial" w:cs="Arial"/>
          <w:lang w:eastAsia="ja-JP"/>
        </w:rPr>
        <w:t xml:space="preserve">. </w:t>
      </w:r>
      <w:r w:rsidR="00757CA5" w:rsidRPr="00B31A4B">
        <w:rPr>
          <w:rFonts w:ascii="Arial" w:hAnsi="Arial" w:cs="Arial"/>
          <w:lang w:eastAsia="ja-JP"/>
        </w:rPr>
        <w:t xml:space="preserve">We were not engaged to, and did not </w:t>
      </w:r>
      <w:r>
        <w:rPr>
          <w:rFonts w:ascii="Arial" w:hAnsi="Arial" w:cs="Arial"/>
          <w:lang w:eastAsia="ja-JP"/>
        </w:rPr>
        <w:t xml:space="preserve">conduct an </w:t>
      </w:r>
      <w:r w:rsidR="00F83D47" w:rsidRPr="00B31A4B">
        <w:rPr>
          <w:rFonts w:ascii="Arial" w:hAnsi="Arial" w:cs="Arial"/>
          <w:lang w:eastAsia="ja-JP"/>
        </w:rPr>
        <w:t>examin</w:t>
      </w:r>
      <w:r>
        <w:rPr>
          <w:rFonts w:ascii="Arial" w:hAnsi="Arial" w:cs="Arial"/>
          <w:lang w:eastAsia="ja-JP"/>
        </w:rPr>
        <w:t>ation</w:t>
      </w:r>
      <w:r w:rsidR="007822E7" w:rsidRPr="00B31A4B">
        <w:rPr>
          <w:rFonts w:ascii="Arial" w:hAnsi="Arial" w:cs="Arial"/>
          <w:lang w:eastAsia="ja-JP"/>
        </w:rPr>
        <w:t xml:space="preserve"> or review</w:t>
      </w:r>
      <w:r>
        <w:rPr>
          <w:rFonts w:ascii="Arial" w:hAnsi="Arial" w:cs="Arial"/>
          <w:lang w:eastAsia="ja-JP"/>
        </w:rPr>
        <w:t xml:space="preserve"> engagement of </w:t>
      </w:r>
      <w:r w:rsidR="00367CE4" w:rsidRPr="00B31A4B">
        <w:rPr>
          <w:rFonts w:ascii="Arial" w:hAnsi="Arial" w:cs="Arial"/>
          <w:lang w:eastAsia="ja-JP"/>
        </w:rPr>
        <w:t xml:space="preserve">the Bureau’s </w:t>
      </w:r>
      <w:r w:rsidR="00F6432F" w:rsidRPr="00B31A4B">
        <w:rPr>
          <w:rFonts w:ascii="Arial" w:hAnsi="Arial" w:cs="Arial"/>
          <w:lang w:eastAsia="ja-JP"/>
        </w:rPr>
        <w:t xml:space="preserve">lodging tax </w:t>
      </w:r>
      <w:r w:rsidR="00A73A90" w:rsidRPr="00B31A4B">
        <w:rPr>
          <w:rFonts w:ascii="Arial" w:hAnsi="Arial" w:cs="Arial"/>
          <w:lang w:eastAsia="ja-JP"/>
        </w:rPr>
        <w:t xml:space="preserve">receipts and </w:t>
      </w:r>
      <w:r w:rsidR="00F6432F" w:rsidRPr="00B31A4B">
        <w:rPr>
          <w:rFonts w:ascii="Arial" w:hAnsi="Arial" w:cs="Arial"/>
          <w:lang w:eastAsia="ja-JP"/>
        </w:rPr>
        <w:t xml:space="preserve">disbursements </w:t>
      </w:r>
      <w:r w:rsidR="00367CE4" w:rsidRPr="00B31A4B">
        <w:rPr>
          <w:rFonts w:ascii="Arial" w:hAnsi="Arial" w:cs="Arial"/>
          <w:lang w:eastAsia="ja-JP"/>
        </w:rPr>
        <w:t xml:space="preserve">for the years ended December 31, </w:t>
      </w:r>
      <w:r w:rsidR="00F13D85">
        <w:rPr>
          <w:rFonts w:ascii="Arial" w:hAnsi="Arial" w:cs="Arial"/>
          <w:lang w:eastAsia="ja-JP"/>
        </w:rPr>
        <w:t>2023</w:t>
      </w:r>
      <w:r w:rsidR="00777868">
        <w:rPr>
          <w:rFonts w:ascii="Arial" w:hAnsi="Arial" w:cs="Arial"/>
          <w:lang w:eastAsia="ja-JP"/>
        </w:rPr>
        <w:t xml:space="preserve"> </w:t>
      </w:r>
      <w:r w:rsidR="00367CE4" w:rsidRPr="00B31A4B">
        <w:rPr>
          <w:rFonts w:ascii="Arial" w:hAnsi="Arial" w:cs="Arial"/>
          <w:lang w:eastAsia="ja-JP"/>
        </w:rPr>
        <w:t>and</w:t>
      </w:r>
      <w:r w:rsidR="002427D6">
        <w:rPr>
          <w:rFonts w:ascii="Arial" w:hAnsi="Arial" w:cs="Arial"/>
          <w:lang w:eastAsia="ja-JP"/>
        </w:rPr>
        <w:t xml:space="preserve"> </w:t>
      </w:r>
      <w:r w:rsidR="00F13D85">
        <w:rPr>
          <w:rFonts w:ascii="Arial" w:hAnsi="Arial" w:cs="Arial"/>
          <w:lang w:eastAsia="ja-JP"/>
        </w:rPr>
        <w:t>2022</w:t>
      </w:r>
      <w:r w:rsidR="00C721E5" w:rsidRPr="00B31A4B">
        <w:rPr>
          <w:rFonts w:ascii="Arial" w:hAnsi="Arial" w:cs="Arial"/>
          <w:bCs/>
        </w:rPr>
        <w:t xml:space="preserve">, </w:t>
      </w:r>
      <w:r w:rsidR="00C721E5" w:rsidRPr="00B31A4B">
        <w:rPr>
          <w:rFonts w:ascii="Arial" w:hAnsi="Arial" w:cs="Arial"/>
          <w:lang w:eastAsia="ja-JP"/>
        </w:rPr>
        <w:t>the objective of which would have been to opine on</w:t>
      </w:r>
      <w:r w:rsidR="00F6432F" w:rsidRPr="00B31A4B">
        <w:rPr>
          <w:rFonts w:ascii="Arial" w:hAnsi="Arial" w:cs="Arial"/>
          <w:lang w:eastAsia="ja-JP"/>
        </w:rPr>
        <w:t xml:space="preserve"> lodging tax </w:t>
      </w:r>
      <w:r w:rsidR="00A73A90" w:rsidRPr="00B31A4B">
        <w:rPr>
          <w:rFonts w:ascii="Arial" w:hAnsi="Arial" w:cs="Arial"/>
          <w:lang w:eastAsia="ja-JP"/>
        </w:rPr>
        <w:t xml:space="preserve">receipts and </w:t>
      </w:r>
      <w:r w:rsidR="00F6432F" w:rsidRPr="00B31A4B">
        <w:rPr>
          <w:rFonts w:ascii="Arial" w:hAnsi="Arial" w:cs="Arial"/>
          <w:lang w:eastAsia="ja-JP"/>
        </w:rPr>
        <w:t>disbursements</w:t>
      </w:r>
      <w:r w:rsidR="007822E7" w:rsidRPr="00B31A4B">
        <w:rPr>
          <w:rFonts w:ascii="Arial" w:hAnsi="Arial" w:cs="Arial"/>
          <w:lang w:eastAsia="ja-JP"/>
        </w:rPr>
        <w:t xml:space="preserve"> or provide a conclusion</w:t>
      </w:r>
      <w:r w:rsidR="00367CE4" w:rsidRPr="00B31A4B">
        <w:rPr>
          <w:rFonts w:ascii="Arial" w:hAnsi="Arial" w:cs="Arial"/>
          <w:lang w:eastAsia="ja-JP"/>
        </w:rPr>
        <w:t xml:space="preserve">.  </w:t>
      </w:r>
      <w:r w:rsidR="00757CA5" w:rsidRPr="00B31A4B">
        <w:rPr>
          <w:rFonts w:ascii="Arial" w:hAnsi="Arial" w:cs="Arial"/>
          <w:lang w:eastAsia="ja-JP"/>
        </w:rPr>
        <w:t>Accordingly, we do not express an opinion</w:t>
      </w:r>
      <w:r w:rsidR="007822E7" w:rsidRPr="00B31A4B">
        <w:rPr>
          <w:rFonts w:ascii="Arial" w:hAnsi="Arial" w:cs="Arial"/>
          <w:lang w:eastAsia="ja-JP"/>
        </w:rPr>
        <w:t xml:space="preserve"> or conclusion</w:t>
      </w:r>
      <w:r w:rsidR="00757CA5" w:rsidRPr="00B31A4B">
        <w:rPr>
          <w:rFonts w:ascii="Arial" w:hAnsi="Arial" w:cs="Arial"/>
          <w:lang w:eastAsia="ja-JP"/>
        </w:rPr>
        <w:t xml:space="preserve">. Had we performed additional procedures, other matters might have come to our attention that we would have reported to you.  </w:t>
      </w:r>
    </w:p>
    <w:p w14:paraId="27FCAF66" w14:textId="77777777" w:rsidR="00022E09" w:rsidRPr="00B31A4B" w:rsidRDefault="00022E09"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40B6387" w14:textId="7B84D634" w:rsidR="00BF73AB" w:rsidRPr="00BF73AB" w:rsidRDefault="00BF73AB" w:rsidP="00BF73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F73AB">
        <w:rPr>
          <w:rFonts w:ascii="Arial" w:hAnsi="Arial" w:cs="Arial"/>
          <w:lang w:eastAsia="ja-JP"/>
        </w:rPr>
        <w:t xml:space="preserve">We are required to be independent of the </w:t>
      </w:r>
      <w:r>
        <w:rPr>
          <w:rFonts w:ascii="Arial" w:hAnsi="Arial" w:cs="Arial"/>
          <w:lang w:eastAsia="ja-JP"/>
        </w:rPr>
        <w:t>Bureau</w:t>
      </w:r>
      <w:r w:rsidRPr="00BF73AB">
        <w:rPr>
          <w:rFonts w:ascii="Arial" w:hAnsi="Arial" w:cs="Arial"/>
          <w:lang w:eastAsia="ja-JP"/>
        </w:rPr>
        <w:t xml:space="preserve"> and to meet our ethical responsib</w:t>
      </w:r>
      <w:r>
        <w:rPr>
          <w:rFonts w:ascii="Arial" w:hAnsi="Arial" w:cs="Arial"/>
          <w:lang w:eastAsia="ja-JP"/>
        </w:rPr>
        <w:t>ilities, in accordance with the</w:t>
      </w:r>
      <w:r w:rsidRPr="00BF73AB">
        <w:rPr>
          <w:rFonts w:ascii="Arial" w:hAnsi="Arial" w:cs="Arial"/>
          <w:lang w:eastAsia="ja-JP"/>
        </w:rPr>
        <w:t xml:space="preserve"> ethical requirements established by the Comptroller General of the United States’ </w:t>
      </w:r>
      <w:r w:rsidRPr="00BF73AB">
        <w:rPr>
          <w:rFonts w:ascii="Arial" w:hAnsi="Arial" w:cs="Arial"/>
          <w:i/>
          <w:lang w:eastAsia="ja-JP"/>
        </w:rPr>
        <w:t>Government Auditing Standards</w:t>
      </w:r>
      <w:r w:rsidRPr="00BF73AB">
        <w:rPr>
          <w:rFonts w:ascii="Arial" w:hAnsi="Arial" w:cs="Arial"/>
          <w:lang w:eastAsia="ja-JP"/>
        </w:rPr>
        <w:t xml:space="preserve"> related to our agreed upon procedures engagement.</w:t>
      </w:r>
    </w:p>
    <w:p w14:paraId="3E5ADAC8" w14:textId="77777777" w:rsidR="001F038C" w:rsidRPr="00B31A4B" w:rsidRDefault="001F038C"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33059C1" w14:textId="08DB5EB6" w:rsidR="001F038C" w:rsidRDefault="001F038C"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6C945AC" w14:textId="77777777" w:rsidR="00F13D85" w:rsidRPr="00F13D85" w:rsidRDefault="00F13D85" w:rsidP="00F13D85">
      <w:pPr>
        <w:jc w:val="both"/>
        <w:rPr>
          <w:rFonts w:ascii="Baguet Script" w:hAnsi="Baguet Script"/>
          <w:sz w:val="32"/>
          <w:szCs w:val="32"/>
        </w:rPr>
      </w:pPr>
      <w:bookmarkStart w:id="1" w:name="_Hlk153721476"/>
      <w:r w:rsidRPr="00F13D85">
        <w:rPr>
          <w:rFonts w:ascii="Baguet Script" w:hAnsi="Baguet Script"/>
          <w:sz w:val="32"/>
          <w:szCs w:val="32"/>
        </w:rPr>
        <w:t>Blank Signature</w:t>
      </w:r>
    </w:p>
    <w:p w14:paraId="3282A87C" w14:textId="77777777" w:rsidR="00F13D85" w:rsidRPr="00F13D85" w:rsidRDefault="00F13D85" w:rsidP="00F13D85">
      <w:pPr>
        <w:jc w:val="both"/>
        <w:rPr>
          <w:rFonts w:ascii="Arial" w:hAnsi="Arial" w:cs="Arial"/>
        </w:rPr>
      </w:pPr>
      <w:r w:rsidRPr="00F13D85">
        <w:rPr>
          <w:rFonts w:ascii="Arial" w:hAnsi="Arial" w:cs="Arial"/>
        </w:rPr>
        <w:t>Signature Name</w:t>
      </w:r>
    </w:p>
    <w:p w14:paraId="59865E15" w14:textId="77777777" w:rsidR="00F13D85" w:rsidRPr="00F13D85" w:rsidRDefault="00F13D85" w:rsidP="00F13D85">
      <w:pPr>
        <w:jc w:val="both"/>
        <w:rPr>
          <w:rFonts w:ascii="Arial" w:hAnsi="Arial" w:cs="Arial"/>
        </w:rPr>
      </w:pPr>
      <w:r w:rsidRPr="00F13D85">
        <w:rPr>
          <w:rFonts w:ascii="Arial" w:hAnsi="Arial" w:cs="Arial"/>
        </w:rPr>
        <w:t xml:space="preserve">Signature Title </w:t>
      </w:r>
    </w:p>
    <w:p w14:paraId="47E28B06" w14:textId="55BB7338" w:rsidR="00F13D85" w:rsidRPr="00B31A4B" w:rsidRDefault="00F13D85" w:rsidP="00751F33">
      <w:pPr>
        <w:jc w:val="both"/>
        <w:rPr>
          <w:rFonts w:ascii="Arial" w:hAnsi="Arial" w:cs="Arial"/>
        </w:rPr>
      </w:pPr>
      <w:r w:rsidRPr="00F13D85">
        <w:rPr>
          <w:rFonts w:ascii="Arial" w:hAnsi="Arial" w:cs="Arial"/>
        </w:rPr>
        <w:t>City, State</w:t>
      </w:r>
      <w:bookmarkEnd w:id="1"/>
    </w:p>
    <w:p w14:paraId="1424F383" w14:textId="77777777" w:rsidR="00290928" w:rsidRDefault="00290928"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48450BAA" w14:textId="2B486A5B" w:rsidR="00437F6E" w:rsidRPr="00B31A4B" w:rsidRDefault="001F038C" w:rsidP="00B31A4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B31A4B">
        <w:rPr>
          <w:rFonts w:ascii="Arial" w:hAnsi="Arial" w:cs="Arial"/>
          <w:color w:val="FF0000"/>
          <w:lang w:eastAsia="ja-JP"/>
        </w:rPr>
        <w:t>[Date]</w:t>
      </w:r>
    </w:p>
    <w:sectPr w:rsidR="00437F6E" w:rsidRPr="00B31A4B" w:rsidSect="0085110F">
      <w:headerReference w:type="default" r:id="rId8"/>
      <w:footerReference w:type="default" r:id="rId9"/>
      <w:headerReference w:type="first" r:id="rId10"/>
      <w:footerReference w:type="first" r:id="rId11"/>
      <w:endnotePr>
        <w:numFmt w:val="decimal"/>
      </w:endnotePr>
      <w:pgSz w:w="12240" w:h="15840"/>
      <w:pgMar w:top="720" w:right="1440" w:bottom="936"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3B5E" w14:textId="77777777" w:rsidR="00FD33F6" w:rsidRDefault="00FD33F6">
      <w:r>
        <w:separator/>
      </w:r>
    </w:p>
  </w:endnote>
  <w:endnote w:type="continuationSeparator" w:id="0">
    <w:p w14:paraId="39E98C93" w14:textId="77777777" w:rsidR="00FD33F6" w:rsidRDefault="00FD33F6">
      <w:r>
        <w:continuationSeparator/>
      </w:r>
    </w:p>
  </w:endnote>
  <w:endnote w:id="1">
    <w:p w14:paraId="42FBC46A" w14:textId="32EC24C5" w:rsidR="002C6F63" w:rsidRPr="005B1231" w:rsidRDefault="00DF7907" w:rsidP="00DF7907">
      <w:pPr>
        <w:pStyle w:val="EndnoteText"/>
        <w:jc w:val="both"/>
        <w:rPr>
          <w:rFonts w:ascii="Arial" w:hAnsi="Arial" w:cs="Arial"/>
          <w:color w:val="244061" w:themeColor="accent1" w:themeShade="80"/>
        </w:rPr>
      </w:pPr>
      <w:r w:rsidRPr="005B1231">
        <w:rPr>
          <w:rStyle w:val="EndnoteReference"/>
          <w:rFonts w:ascii="Arial" w:hAnsi="Arial" w:cs="Arial"/>
          <w:color w:val="244061" w:themeColor="accent1" w:themeShade="80"/>
        </w:rPr>
        <w:endnoteRef/>
      </w:r>
      <w:r w:rsidRPr="005B1231">
        <w:rPr>
          <w:rFonts w:ascii="Arial" w:hAnsi="Arial" w:cs="Arial"/>
          <w:color w:val="244061" w:themeColor="accent1" w:themeShade="80"/>
        </w:rPr>
        <w:t xml:space="preserve"> </w:t>
      </w:r>
      <w:r w:rsidR="00C604B8" w:rsidRPr="00C604B8">
        <w:rPr>
          <w:rFonts w:ascii="Arial" w:hAnsi="Arial" w:cs="Arial"/>
          <w:color w:val="002060"/>
        </w:rPr>
        <w:t xml:space="preserve"> </w:t>
      </w:r>
      <w:r w:rsidR="00C604B8" w:rsidRPr="00F031B2">
        <w:rPr>
          <w:rFonts w:ascii="Arial" w:hAnsi="Arial" w:cs="Arial"/>
          <w:color w:val="002060"/>
        </w:rPr>
        <w:t xml:space="preserve">This report shell should be used for entities with a testing period of </w:t>
      </w:r>
      <w:r w:rsidR="00F13D85">
        <w:rPr>
          <w:rFonts w:ascii="Arial" w:hAnsi="Arial" w:cs="Arial"/>
          <w:color w:val="002060"/>
        </w:rPr>
        <w:t>2022</w:t>
      </w:r>
      <w:r w:rsidR="00C604B8" w:rsidRPr="00F031B2">
        <w:rPr>
          <w:rFonts w:ascii="Arial" w:hAnsi="Arial" w:cs="Arial"/>
          <w:color w:val="002060"/>
        </w:rPr>
        <w:t>-</w:t>
      </w:r>
      <w:r w:rsidR="00F13D85">
        <w:rPr>
          <w:rFonts w:ascii="Arial" w:hAnsi="Arial" w:cs="Arial"/>
          <w:color w:val="002060"/>
        </w:rPr>
        <w:t>2023</w:t>
      </w:r>
      <w:r w:rsidR="00124F60">
        <w:rPr>
          <w:rFonts w:ascii="Arial" w:hAnsi="Arial" w:cs="Arial"/>
          <w:color w:val="002060"/>
        </w:rPr>
        <w:t xml:space="preserve"> or </w:t>
      </w:r>
      <w:r w:rsidR="00F13D85">
        <w:rPr>
          <w:rFonts w:ascii="Arial" w:hAnsi="Arial" w:cs="Arial"/>
          <w:color w:val="002060"/>
        </w:rPr>
        <w:t>2023</w:t>
      </w:r>
      <w:r w:rsidR="00C604B8" w:rsidRPr="00F031B2">
        <w:rPr>
          <w:rFonts w:ascii="Arial" w:hAnsi="Arial" w:cs="Arial"/>
          <w:color w:val="002060"/>
        </w:rPr>
        <w:t xml:space="preserve">. For period </w:t>
      </w:r>
      <w:r w:rsidR="00F13D85">
        <w:rPr>
          <w:rFonts w:ascii="Arial" w:hAnsi="Arial" w:cs="Arial"/>
          <w:color w:val="002060"/>
        </w:rPr>
        <w:t>2021</w:t>
      </w:r>
      <w:r w:rsidR="00C604B8" w:rsidRPr="00F031B2">
        <w:rPr>
          <w:rFonts w:ascii="Arial" w:hAnsi="Arial" w:cs="Arial"/>
          <w:color w:val="002060"/>
        </w:rPr>
        <w:t>-</w:t>
      </w:r>
      <w:r w:rsidR="00F13D85">
        <w:rPr>
          <w:rFonts w:ascii="Arial" w:hAnsi="Arial" w:cs="Arial"/>
          <w:color w:val="002060"/>
        </w:rPr>
        <w:t>2022</w:t>
      </w:r>
      <w:r w:rsidR="00C604B8"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F14AA0" w:rsidRPr="00CA142F">
          <w:rPr>
            <w:rStyle w:val="Hyperlink"/>
            <w:rFonts w:ascii="Arial" w:hAnsi="Arial" w:cs="Arial"/>
          </w:rPr>
          <w:t>IPAcorrespondence@ohioauditor.gov</w:t>
        </w:r>
      </w:hyperlink>
      <w:r w:rsidR="00F14AA0">
        <w:rPr>
          <w:rFonts w:ascii="Arial" w:hAnsi="Arial" w:cs="Arial"/>
          <w:color w:val="002060"/>
        </w:rPr>
        <w:t xml:space="preserve"> </w:t>
      </w:r>
      <w:r w:rsidR="00C604B8" w:rsidRPr="00F031B2">
        <w:rPr>
          <w:rFonts w:ascii="Arial" w:hAnsi="Arial" w:cs="Arial"/>
          <w:color w:val="002060"/>
        </w:rPr>
        <w:t>inbox.  This shell is written for a 2 year engagement, please modif</w:t>
      </w:r>
      <w:r w:rsidR="00124F60">
        <w:rPr>
          <w:rFonts w:ascii="Arial" w:hAnsi="Arial" w:cs="Arial"/>
          <w:color w:val="002060"/>
        </w:rPr>
        <w:t>y</w:t>
      </w:r>
      <w:r w:rsidR="00C604B8" w:rsidRPr="00F031B2">
        <w:rPr>
          <w:rFonts w:ascii="Arial" w:hAnsi="Arial" w:cs="Arial"/>
          <w:color w:val="002060"/>
        </w:rPr>
        <w:t xml:space="preserve"> as needed for single year AUP engagements.</w:t>
      </w:r>
    </w:p>
    <w:p w14:paraId="54EE6A63" w14:textId="77777777" w:rsidR="00DF7907" w:rsidRPr="005B1231" w:rsidRDefault="00DF7907" w:rsidP="00DF7907">
      <w:pPr>
        <w:pStyle w:val="EndnoteText"/>
        <w:jc w:val="both"/>
        <w:rPr>
          <w:rFonts w:ascii="Arial" w:hAnsi="Arial" w:cs="Arial"/>
          <w:color w:val="244061" w:themeColor="accent1" w:themeShade="80"/>
        </w:rPr>
      </w:pPr>
    </w:p>
  </w:endnote>
  <w:endnote w:id="2">
    <w:p w14:paraId="43362195" w14:textId="6C658BF4" w:rsidR="00C604B8" w:rsidRPr="00723688" w:rsidRDefault="00325164" w:rsidP="00C604B8">
      <w:pPr>
        <w:pStyle w:val="EndnoteText"/>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w:t>
      </w:r>
      <w:r w:rsidR="00C604B8" w:rsidRPr="00723688">
        <w:rPr>
          <w:rFonts w:ascii="Arial" w:hAnsi="Arial" w:cs="Arial"/>
          <w:color w:val="002060"/>
        </w:rPr>
        <w:t xml:space="preserve">Updated </w:t>
      </w:r>
      <w:r w:rsidR="00F13D85">
        <w:rPr>
          <w:rFonts w:ascii="Arial" w:hAnsi="Arial" w:cs="Arial"/>
          <w:color w:val="002060"/>
        </w:rPr>
        <w:t>January 2024</w:t>
      </w:r>
      <w:r w:rsidR="00C604B8" w:rsidRPr="00723688">
        <w:rPr>
          <w:rFonts w:ascii="Arial" w:hAnsi="Arial" w:cs="Arial"/>
          <w:color w:val="002060"/>
        </w:rPr>
        <w:t xml:space="preserve"> – </w:t>
      </w:r>
      <w:r w:rsidR="002213C5">
        <w:rPr>
          <w:rFonts w:ascii="Arial" w:hAnsi="Arial" w:cs="Arial"/>
          <w:color w:val="002060"/>
        </w:rPr>
        <w:t>Changes are not marked</w:t>
      </w:r>
      <w:r w:rsidR="00C604B8" w:rsidRPr="00723688">
        <w:rPr>
          <w:rFonts w:ascii="Arial" w:hAnsi="Arial" w:cs="Arial"/>
          <w:color w:val="002060"/>
        </w:rPr>
        <w:t xml:space="preserve">. The following should be completed prior to finalizing the report: </w:t>
      </w:r>
    </w:p>
    <w:p w14:paraId="0B3675C0" w14:textId="77777777" w:rsidR="00C604B8" w:rsidRPr="00931E15" w:rsidRDefault="00C604B8" w:rsidP="00C604B8">
      <w:pPr>
        <w:numPr>
          <w:ilvl w:val="0"/>
          <w:numId w:val="12"/>
        </w:numPr>
        <w:jc w:val="both"/>
        <w:rPr>
          <w:rFonts w:ascii="Arial" w:hAnsi="Arial" w:cs="Arial"/>
          <w:color w:val="002060"/>
        </w:rPr>
      </w:pPr>
      <w:r w:rsidRPr="00931E15">
        <w:rPr>
          <w:rFonts w:ascii="Arial" w:hAnsi="Arial" w:cs="Arial"/>
          <w:color w:val="002060"/>
        </w:rPr>
        <w:t>All the red references should be updated as appropriate and changed to black; and</w:t>
      </w:r>
    </w:p>
    <w:p w14:paraId="3F2FB7FF" w14:textId="16D658CB" w:rsidR="00325164" w:rsidRPr="00EF44E9" w:rsidRDefault="00C604B8" w:rsidP="00931E15">
      <w:pPr>
        <w:numPr>
          <w:ilvl w:val="0"/>
          <w:numId w:val="12"/>
        </w:numPr>
        <w:jc w:val="both"/>
        <w:rPr>
          <w:rFonts w:ascii="Arial" w:hAnsi="Arial" w:cs="Arial"/>
          <w:color w:val="002060"/>
        </w:rPr>
      </w:pPr>
      <w:r w:rsidRPr="00931E15">
        <w:rPr>
          <w:rFonts w:ascii="Arial" w:hAnsi="Arial" w:cs="Arial"/>
          <w:color w:val="002060"/>
        </w:rPr>
        <w:t xml:space="preserve">All blue font items </w:t>
      </w:r>
      <w:r w:rsidRPr="00EF44E9">
        <w:rPr>
          <w:rFonts w:ascii="Arial" w:hAnsi="Arial" w:cs="Arial"/>
          <w:color w:val="002060"/>
        </w:rPr>
        <w:t xml:space="preserve">are guidance and need removed. </w:t>
      </w:r>
    </w:p>
    <w:p w14:paraId="24B27885" w14:textId="77777777" w:rsidR="00325164" w:rsidRPr="00EF44E9" w:rsidRDefault="00325164" w:rsidP="00AE0387">
      <w:pPr>
        <w:pStyle w:val="EndnoteText"/>
        <w:jc w:val="both"/>
        <w:rPr>
          <w:rFonts w:ascii="Arial" w:hAnsi="Arial" w:cs="Arial"/>
          <w:color w:val="002060"/>
        </w:rPr>
      </w:pPr>
    </w:p>
  </w:endnote>
  <w:endnote w:id="3">
    <w:p w14:paraId="6DC659B6" w14:textId="5ABCD287" w:rsidR="00E3319A" w:rsidRPr="00EF44E9" w:rsidRDefault="00E3319A" w:rsidP="00AE0387">
      <w:pPr>
        <w:pStyle w:val="FootnoteText"/>
        <w:jc w:val="both"/>
        <w:rPr>
          <w:rFonts w:ascii="Arial" w:hAnsi="Arial" w:cs="Arial"/>
          <w:color w:val="002060"/>
        </w:rPr>
      </w:pPr>
      <w:r w:rsidRPr="00E43C4C">
        <w:rPr>
          <w:rStyle w:val="EndnoteReference"/>
          <w:rFonts w:ascii="Arial" w:hAnsi="Arial" w:cs="Arial"/>
          <w:color w:val="002161"/>
        </w:rPr>
        <w:endnoteRef/>
      </w:r>
      <w:r w:rsidRPr="00E43C4C">
        <w:rPr>
          <w:rFonts w:ascii="Arial" w:hAnsi="Arial" w:cs="Arial"/>
          <w:color w:val="002161"/>
        </w:rPr>
        <w:t xml:space="preserve"> </w:t>
      </w:r>
      <w:r w:rsidR="00074161" w:rsidRPr="00E43C4C">
        <w:rPr>
          <w:rFonts w:ascii="Arial" w:hAnsi="Arial" w:cs="Arial"/>
          <w:color w:val="002161"/>
        </w:rPr>
        <w:t xml:space="preserve">Please read the document, </w:t>
      </w:r>
      <w:hyperlink r:id="rId2" w:history="1">
        <w:r w:rsidR="00EF44E9" w:rsidRPr="00EF44E9">
          <w:rPr>
            <w:rStyle w:val="Hyperlink"/>
            <w:rFonts w:ascii="Arial" w:hAnsi="Arial" w:cs="Arial"/>
          </w:rPr>
          <w:t>AUP Additional Guidance</w:t>
        </w:r>
      </w:hyperlink>
      <w:r w:rsidR="00074161" w:rsidRPr="00E43C4C">
        <w:rPr>
          <w:rFonts w:ascii="Arial" w:hAnsi="Arial" w:cs="Arial"/>
          <w:color w:val="002161"/>
        </w:rPr>
        <w:t xml:space="preserve"> for additional information</w:t>
      </w:r>
      <w:r w:rsidR="001A3B3B" w:rsidRPr="00EF44E9">
        <w:rPr>
          <w:rFonts w:ascii="Arial" w:hAnsi="Arial" w:cs="Arial"/>
          <w:color w:val="002060"/>
        </w:rPr>
        <w:t>.</w:t>
      </w:r>
      <w:r w:rsidR="00074161" w:rsidRPr="00EF44E9">
        <w:rPr>
          <w:rFonts w:ascii="Arial" w:hAnsi="Arial" w:cs="Arial"/>
          <w:color w:val="002060"/>
        </w:rPr>
        <w:t xml:space="preserve"> </w:t>
      </w:r>
    </w:p>
    <w:p w14:paraId="6D6C7B53" w14:textId="77777777" w:rsidR="00E3319A" w:rsidRPr="00CC48F4" w:rsidRDefault="00E3319A" w:rsidP="00AE0387">
      <w:pPr>
        <w:pStyle w:val="EndnoteText"/>
        <w:jc w:val="both"/>
        <w:rPr>
          <w:rFonts w:ascii="Arial" w:hAnsi="Arial" w:cs="Arial"/>
          <w:color w:val="002060"/>
        </w:rPr>
      </w:pPr>
    </w:p>
  </w:endnote>
  <w:endnote w:id="4">
    <w:p w14:paraId="0BF6140A" w14:textId="77777777" w:rsidR="00DF7907" w:rsidRPr="005B1231" w:rsidRDefault="00DF7907" w:rsidP="00DF7907">
      <w:pPr>
        <w:pStyle w:val="EndnoteText"/>
        <w:rPr>
          <w:rFonts w:ascii="Arial" w:hAnsi="Arial" w:cs="Arial"/>
          <w:color w:val="002060"/>
        </w:rPr>
      </w:pPr>
      <w:r w:rsidRPr="005B1231">
        <w:rPr>
          <w:rStyle w:val="EndnoteReference"/>
          <w:rFonts w:ascii="Arial" w:hAnsi="Arial" w:cs="Arial"/>
          <w:color w:val="002060"/>
        </w:rPr>
        <w:endnoteRef/>
      </w:r>
      <w:r w:rsidRPr="005B1231">
        <w:rPr>
          <w:rFonts w:ascii="Arial" w:hAnsi="Arial" w:cs="Arial"/>
          <w:color w:val="002060"/>
        </w:rPr>
        <w:t xml:space="preserve"> </w:t>
      </w:r>
      <w:r w:rsidRPr="005B1231">
        <w:rPr>
          <w:rFonts w:ascii="Arial" w:hAnsi="Arial" w:cs="Arial"/>
          <w:b/>
          <w:color w:val="002060"/>
        </w:rPr>
        <w:t>IPA AUP engagements:</w:t>
      </w:r>
      <w:r w:rsidRPr="005B1231">
        <w:rPr>
          <w:rFonts w:ascii="Arial" w:hAnsi="Arial" w:cs="Arial"/>
          <w:color w:val="00206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7A6B7648" w14:textId="77777777" w:rsidR="00DF7907" w:rsidRPr="005B1231" w:rsidRDefault="00DF7907" w:rsidP="00DF7907">
      <w:pPr>
        <w:pStyle w:val="EndnoteText"/>
        <w:rPr>
          <w:color w:val="002060"/>
        </w:rPr>
      </w:pPr>
    </w:p>
  </w:endnote>
  <w:endnote w:id="5">
    <w:p w14:paraId="75C401AE" w14:textId="77777777" w:rsidR="00B85731" w:rsidRPr="00CC48F4" w:rsidRDefault="00B85731" w:rsidP="00AE0387">
      <w:pPr>
        <w:pStyle w:val="EndnoteText"/>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The cash and investment procedures should be completed for both public and private monies, since these monies are generally maintained in the same accounts.  All other step</w:t>
      </w:r>
      <w:r w:rsidR="004F0F8F" w:rsidRPr="00CC48F4">
        <w:rPr>
          <w:rFonts w:ascii="Arial" w:hAnsi="Arial" w:cs="Arial"/>
          <w:color w:val="002060"/>
        </w:rPr>
        <w:t>s</w:t>
      </w:r>
      <w:r w:rsidR="00CB1662" w:rsidRPr="00CC48F4">
        <w:rPr>
          <w:rFonts w:ascii="Arial" w:hAnsi="Arial" w:cs="Arial"/>
          <w:color w:val="002060"/>
        </w:rPr>
        <w:t xml:space="preserve"> apply ONLY to the public funds. Note: If the private monies are combined with the public monies they lose their “private” identity.</w:t>
      </w:r>
    </w:p>
    <w:p w14:paraId="7B816B04" w14:textId="77777777" w:rsidR="00B85731" w:rsidRPr="00CC48F4" w:rsidRDefault="00B85731" w:rsidP="00AE0387">
      <w:pPr>
        <w:pStyle w:val="EndnoteText"/>
        <w:jc w:val="both"/>
        <w:rPr>
          <w:rFonts w:ascii="Arial" w:hAnsi="Arial" w:cs="Arial"/>
          <w:color w:val="002060"/>
        </w:rPr>
      </w:pPr>
    </w:p>
  </w:endnote>
  <w:endnote w:id="6">
    <w:p w14:paraId="6769F641" w14:textId="3A57C051" w:rsidR="007F2421" w:rsidRPr="00CC48F4" w:rsidRDefault="007F2421" w:rsidP="007F2421">
      <w:pPr>
        <w:pStyle w:val="EndnoteText"/>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If the Bureau uses a fiscal agent to process transactions, please replace the cash &amp; investment section with the cash &amp; Investment procedures in the Solid Waste District AUP shell.</w:t>
      </w:r>
    </w:p>
    <w:p w14:paraId="6718FAEC" w14:textId="77777777" w:rsidR="007F2421" w:rsidRPr="00CC48F4" w:rsidRDefault="007F2421" w:rsidP="007F2421">
      <w:pPr>
        <w:pStyle w:val="EndnoteText"/>
        <w:jc w:val="both"/>
        <w:rPr>
          <w:rFonts w:ascii="Arial" w:hAnsi="Arial" w:cs="Arial"/>
          <w:color w:val="002060"/>
        </w:rPr>
      </w:pPr>
    </w:p>
  </w:endnote>
  <w:endnote w:id="7">
    <w:p w14:paraId="3CB59958" w14:textId="77777777" w:rsidR="00DF7907" w:rsidRPr="005B1231" w:rsidRDefault="00DF7907" w:rsidP="00DF7907">
      <w:pPr>
        <w:pStyle w:val="EndnoteText"/>
        <w:rPr>
          <w:rFonts w:ascii="Arial" w:hAnsi="Arial" w:cs="Arial"/>
          <w:color w:val="002060"/>
        </w:rPr>
      </w:pPr>
      <w:r w:rsidRPr="005B1231">
        <w:rPr>
          <w:rStyle w:val="EndnoteReference"/>
          <w:rFonts w:ascii="Arial" w:hAnsi="Arial" w:cs="Arial"/>
          <w:color w:val="002060"/>
        </w:rPr>
        <w:endnoteRef/>
      </w:r>
      <w:r w:rsidRPr="005B1231">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1DC8A3C1" w14:textId="77777777" w:rsidR="00DF7907" w:rsidRPr="005B1231" w:rsidRDefault="00DF7907" w:rsidP="00DF7907">
      <w:pPr>
        <w:pStyle w:val="EndnoteText"/>
        <w:rPr>
          <w:color w:val="002060"/>
        </w:rPr>
      </w:pPr>
    </w:p>
  </w:endnote>
  <w:endnote w:id="8">
    <w:p w14:paraId="2EF36D91" w14:textId="71F2873B" w:rsidR="00325164" w:rsidRPr="00CC48F4" w:rsidRDefault="00325164" w:rsidP="00E42F27">
      <w:pPr>
        <w:pStyle w:val="EndnoteText"/>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If the entity using the UAN system had no activity on 1/1/</w:t>
      </w:r>
      <w:r w:rsidR="00F13D85">
        <w:rPr>
          <w:rFonts w:ascii="Arial" w:hAnsi="Arial" w:cs="Arial"/>
          <w:color w:val="002060"/>
        </w:rPr>
        <w:t>2022</w:t>
      </w:r>
      <w:r w:rsidRPr="00CC48F4">
        <w:rPr>
          <w:rFonts w:ascii="Arial" w:hAnsi="Arial" w:cs="Arial"/>
          <w:color w:val="002060"/>
        </w:rPr>
        <w:t>, then run the Fund Ledger Report as of the first date they had activity during the year.</w:t>
      </w:r>
    </w:p>
    <w:p w14:paraId="4BBF29EB" w14:textId="77777777" w:rsidR="00325164" w:rsidRPr="00CC48F4" w:rsidRDefault="00325164" w:rsidP="00E42F27">
      <w:pPr>
        <w:pStyle w:val="EndnoteText"/>
        <w:jc w:val="both"/>
        <w:rPr>
          <w:rFonts w:ascii="Arial" w:hAnsi="Arial" w:cs="Arial"/>
          <w:color w:val="002060"/>
        </w:rPr>
      </w:pPr>
    </w:p>
  </w:endnote>
  <w:endnote w:id="9">
    <w:p w14:paraId="7FB7F8D4" w14:textId="77777777" w:rsidR="00E44BFF" w:rsidRPr="00CC48F4" w:rsidRDefault="00E44BFF" w:rsidP="00AE0387">
      <w:pPr>
        <w:pStyle w:val="EndnoteText"/>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Performing this step normally requires reviewing disbursement records at the county, municipality and / or township.  </w:t>
      </w:r>
    </w:p>
    <w:p w14:paraId="4FD1E2C3" w14:textId="77777777" w:rsidR="00E44BFF" w:rsidRPr="00CC48F4" w:rsidRDefault="00E44BFF" w:rsidP="00AE0387">
      <w:pPr>
        <w:pStyle w:val="EndnoteText"/>
        <w:jc w:val="both"/>
        <w:rPr>
          <w:rFonts w:ascii="Arial" w:hAnsi="Arial" w:cs="Arial"/>
          <w:color w:val="002060"/>
        </w:rPr>
      </w:pPr>
    </w:p>
  </w:endnote>
  <w:endnote w:id="10">
    <w:p w14:paraId="41F53585" w14:textId="77777777" w:rsidR="00E44BFF" w:rsidRPr="00CC48F4" w:rsidRDefault="00E44BFF" w:rsidP="00610ED7">
      <w:pPr>
        <w:pStyle w:val="EndnoteText"/>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It is possible a Bureau would not record a receipt for a disbursement made very near year end until the beginning of the following year.  We would not deem this as an exception</w:t>
      </w:r>
      <w:r w:rsidR="00CA6B65" w:rsidRPr="00CC48F4">
        <w:rPr>
          <w:rFonts w:ascii="Arial" w:hAnsi="Arial" w:cs="Arial"/>
          <w:color w:val="002060"/>
        </w:rPr>
        <w:t xml:space="preserve"> if the Bureau recorded the receipt early in the following year</w:t>
      </w:r>
      <w:r w:rsidRPr="00CC48F4">
        <w:rPr>
          <w:rFonts w:ascii="Arial" w:hAnsi="Arial" w:cs="Arial"/>
          <w:color w:val="002060"/>
        </w:rPr>
        <w:t>.</w:t>
      </w:r>
    </w:p>
    <w:p w14:paraId="7713119F" w14:textId="77777777" w:rsidR="00E44BFF" w:rsidRPr="00CC48F4" w:rsidRDefault="00E44BFF" w:rsidP="00610ED7">
      <w:pPr>
        <w:pStyle w:val="EndnoteText"/>
        <w:jc w:val="both"/>
        <w:rPr>
          <w:rFonts w:ascii="Arial" w:hAnsi="Arial" w:cs="Arial"/>
          <w:color w:val="002060"/>
        </w:rPr>
      </w:pPr>
    </w:p>
  </w:endnote>
  <w:endnote w:id="11">
    <w:p w14:paraId="3197E697" w14:textId="3345736D" w:rsidR="00E44BFF" w:rsidRPr="00CC48F4" w:rsidRDefault="00E44BFF" w:rsidP="00610ED7">
      <w:pPr>
        <w:pStyle w:val="NormalWeb"/>
        <w:ind w:left="0"/>
        <w:jc w:val="both"/>
        <w:rPr>
          <w:rFonts w:ascii="Arial" w:hAnsi="Arial" w:cs="Arial"/>
          <w:color w:val="002060"/>
        </w:rPr>
      </w:pPr>
      <w:r w:rsidRPr="00CC48F4">
        <w:rPr>
          <w:rStyle w:val="EndnoteReference"/>
          <w:rFonts w:ascii="Arial" w:hAnsi="Arial" w:cs="Arial"/>
          <w:color w:val="002060"/>
        </w:rPr>
        <w:endnoteRef/>
      </w:r>
      <w:r w:rsidRPr="00CC48F4">
        <w:rPr>
          <w:rFonts w:ascii="Arial" w:hAnsi="Arial" w:cs="Arial"/>
          <w:color w:val="002060"/>
        </w:rPr>
        <w:t xml:space="preserve"> 501(c)(6) classification is reserved for specific organizations, including </w:t>
      </w:r>
      <w:r w:rsidRPr="00CC48F4">
        <w:rPr>
          <w:rFonts w:ascii="Arial" w:hAnsi="Arial" w:cs="Arial"/>
          <w:b/>
          <w:i/>
          <w:color w:val="002060"/>
        </w:rPr>
        <w:t>chamber of commerce organizations</w:t>
      </w:r>
      <w:r w:rsidRPr="00CC48F4">
        <w:rPr>
          <w:rFonts w:ascii="Arial" w:hAnsi="Arial" w:cs="Arial"/>
          <w:color w:val="002060"/>
        </w:rPr>
        <w:t xml:space="preserve"> (which would include CVB) (and professional football leagues!)  They are characterized by a common business interest, which the organization typically promotes. Organizations under this category are exempt from most federal income taxes. </w:t>
      </w:r>
    </w:p>
    <w:p w14:paraId="0A69E881" w14:textId="77777777" w:rsidR="00324DAA" w:rsidRPr="00CC48F4" w:rsidRDefault="00324DAA" w:rsidP="00610ED7">
      <w:pPr>
        <w:pStyle w:val="NormalWeb"/>
        <w:ind w:left="0"/>
        <w:jc w:val="both"/>
        <w:rPr>
          <w:rFonts w:ascii="Arial" w:hAnsi="Arial" w:cs="Arial"/>
          <w:color w:val="002060"/>
        </w:rPr>
      </w:pPr>
    </w:p>
    <w:p w14:paraId="2B760300" w14:textId="77777777" w:rsidR="00E44BFF" w:rsidRPr="00CC48F4" w:rsidRDefault="00E44BFF" w:rsidP="00610ED7">
      <w:pPr>
        <w:jc w:val="both"/>
        <w:rPr>
          <w:rFonts w:ascii="Arial" w:hAnsi="Arial" w:cs="Arial"/>
          <w:color w:val="002060"/>
        </w:rPr>
      </w:pPr>
      <w:r w:rsidRPr="00CC48F4">
        <w:rPr>
          <w:rFonts w:ascii="Arial" w:hAnsi="Arial" w:cs="Arial"/>
          <w:color w:val="002060"/>
        </w:rPr>
        <w:t xml:space="preserve">501(c)(6) organizations may engage in limited political activities that inform, educate, and promote their given interest. They may </w:t>
      </w:r>
      <w:r w:rsidRPr="00CC48F4">
        <w:rPr>
          <w:rFonts w:ascii="Arial" w:hAnsi="Arial" w:cs="Arial"/>
          <w:b/>
          <w:i/>
          <w:color w:val="002060"/>
        </w:rPr>
        <w:t>not</w:t>
      </w:r>
      <w:r w:rsidRPr="00CC48F4">
        <w:rPr>
          <w:rFonts w:ascii="Arial" w:hAnsi="Arial" w:cs="Arial"/>
          <w:color w:val="002060"/>
        </w:rPr>
        <w:t xml:space="preserve"> engage in direct expenditures advocating a vote for a political candidate or cause.  Therefore, we should report any disbursements for political candidates as possible violations of the CVB’s exempt purpose.</w:t>
      </w:r>
    </w:p>
    <w:p w14:paraId="781B21DE" w14:textId="77777777" w:rsidR="00324DAA" w:rsidRPr="00CC48F4" w:rsidRDefault="00324DAA" w:rsidP="00610ED7">
      <w:pPr>
        <w:jc w:val="both"/>
        <w:rPr>
          <w:rFonts w:ascii="Arial" w:hAnsi="Arial" w:cs="Arial"/>
          <w:color w:val="002060"/>
        </w:rPr>
      </w:pPr>
    </w:p>
    <w:p w14:paraId="695DF02A" w14:textId="130313CC" w:rsidR="00E44BFF" w:rsidRPr="00CC48F4" w:rsidRDefault="00E44BFF" w:rsidP="00610ED7">
      <w:pPr>
        <w:jc w:val="both"/>
        <w:rPr>
          <w:rFonts w:ascii="Arial" w:hAnsi="Arial" w:cs="Arial"/>
          <w:color w:val="002060"/>
        </w:rPr>
      </w:pPr>
      <w:r w:rsidRPr="00CC48F4">
        <w:rPr>
          <w:rFonts w:ascii="Arial" w:hAnsi="Arial" w:cs="Arial"/>
          <w:color w:val="002060"/>
        </w:rPr>
        <w:t xml:space="preserve">We are also aware some CVB are exempt under 501(c)(3) as </w:t>
      </w:r>
      <w:r w:rsidRPr="00CC48F4">
        <w:rPr>
          <w:rFonts w:ascii="Arial" w:hAnsi="Arial" w:cs="Arial"/>
          <w:i/>
          <w:color w:val="002060"/>
        </w:rPr>
        <w:t>public charities</w:t>
      </w:r>
      <w:r w:rsidRPr="00CC48F4">
        <w:rPr>
          <w:rFonts w:ascii="Arial" w:hAnsi="Arial" w:cs="Arial"/>
          <w:color w:val="002060"/>
        </w:rPr>
        <w:t>. Similar to 501(c)(6) organizations, “(c)(3)” organizations are prohibited from conducting political campaign activities to influence elections to public office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51F" w14:textId="6C82AED5" w:rsidR="00D310EF" w:rsidRPr="00D310EF" w:rsidRDefault="00D310EF" w:rsidP="00D310EF">
    <w:pPr>
      <w:pStyle w:val="Footer"/>
      <w:jc w:val="center"/>
      <w:rPr>
        <w:rFonts w:ascii="Arial" w:hAnsi="Arial" w:cs="Arial"/>
      </w:rPr>
    </w:pPr>
    <w:r w:rsidRPr="00D310EF">
      <w:rPr>
        <w:rFonts w:ascii="Arial" w:hAnsi="Arial" w:cs="Arial"/>
      </w:rPr>
      <w:fldChar w:fldCharType="begin"/>
    </w:r>
    <w:r w:rsidRPr="00D310EF">
      <w:rPr>
        <w:rFonts w:ascii="Arial" w:hAnsi="Arial" w:cs="Arial"/>
      </w:rPr>
      <w:instrText xml:space="preserve"> PAGE   \* MERGEFORMAT </w:instrText>
    </w:r>
    <w:r w:rsidRPr="00D310EF">
      <w:rPr>
        <w:rFonts w:ascii="Arial" w:hAnsi="Arial" w:cs="Arial"/>
      </w:rPr>
      <w:fldChar w:fldCharType="separate"/>
    </w:r>
    <w:r w:rsidR="00CE4633">
      <w:rPr>
        <w:rFonts w:ascii="Arial" w:hAnsi="Arial" w:cs="Arial"/>
        <w:noProof/>
      </w:rPr>
      <w:t>4</w:t>
    </w:r>
    <w:r w:rsidRPr="00D310EF">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076A" w14:textId="77777777" w:rsidR="00917641" w:rsidRDefault="00917641" w:rsidP="00917641"/>
  <w:p w14:paraId="15C845CE" w14:textId="77777777" w:rsidR="00917641" w:rsidRPr="00917641" w:rsidRDefault="00917641" w:rsidP="00917641">
    <w:pPr>
      <w:pStyle w:val="Footer"/>
      <w:tabs>
        <w:tab w:val="clear" w:pos="4680"/>
        <w:tab w:val="clear" w:pos="9360"/>
      </w:tabs>
      <w:jc w:val="center"/>
      <w:rPr>
        <w:rFonts w:ascii="Arial" w:hAnsi="Arial" w:cs="Arial"/>
      </w:rPr>
    </w:pPr>
  </w:p>
  <w:p w14:paraId="1219A3AA" w14:textId="56967222" w:rsidR="00C96AE5" w:rsidRPr="00B31A4B" w:rsidRDefault="00B31A4B" w:rsidP="00B31A4B">
    <w:pPr>
      <w:pStyle w:val="Footer"/>
      <w:jc w:val="center"/>
      <w:rPr>
        <w:rFonts w:ascii="Arial" w:hAnsi="Arial" w:cs="Arial"/>
      </w:rPr>
    </w:pPr>
    <w:r w:rsidRPr="00B31A4B">
      <w:rPr>
        <w:rFonts w:ascii="Arial" w:hAnsi="Arial" w:cs="Arial"/>
      </w:rPr>
      <w:fldChar w:fldCharType="begin"/>
    </w:r>
    <w:r w:rsidRPr="00B31A4B">
      <w:rPr>
        <w:rFonts w:ascii="Arial" w:hAnsi="Arial" w:cs="Arial"/>
      </w:rPr>
      <w:instrText xml:space="preserve"> PAGE   \* MERGEFORMAT </w:instrText>
    </w:r>
    <w:r w:rsidRPr="00B31A4B">
      <w:rPr>
        <w:rFonts w:ascii="Arial" w:hAnsi="Arial" w:cs="Arial"/>
      </w:rPr>
      <w:fldChar w:fldCharType="separate"/>
    </w:r>
    <w:r w:rsidR="00CE4633">
      <w:rPr>
        <w:rFonts w:ascii="Arial" w:hAnsi="Arial" w:cs="Arial"/>
        <w:noProof/>
      </w:rPr>
      <w:t>1</w:t>
    </w:r>
    <w:r w:rsidRPr="00B31A4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0D97" w14:textId="77777777" w:rsidR="00FD33F6" w:rsidRDefault="00FD33F6">
      <w:r>
        <w:separator/>
      </w:r>
    </w:p>
  </w:footnote>
  <w:footnote w:type="continuationSeparator" w:id="0">
    <w:p w14:paraId="7B414FE1" w14:textId="77777777" w:rsidR="00FD33F6" w:rsidRDefault="00FD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DF9E" w14:textId="77777777" w:rsidR="00325164" w:rsidRPr="00A165EB" w:rsidRDefault="00325164" w:rsidP="00325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7F247C">
      <w:rPr>
        <w:rFonts w:ascii="Arial" w:hAnsi="Arial" w:cs="Arial"/>
        <w:color w:val="FF0000"/>
        <w:lang w:eastAsia="ja-JP"/>
      </w:rPr>
      <w:t>[Name of]</w:t>
    </w:r>
    <w:r w:rsidRPr="00A165EB">
      <w:rPr>
        <w:rFonts w:ascii="Arial" w:hAnsi="Arial" w:cs="Arial"/>
        <w:lang w:eastAsia="ja-JP"/>
      </w:rPr>
      <w:t xml:space="preserve"> Convention and Visitors Bureau</w:t>
    </w:r>
  </w:p>
  <w:p w14:paraId="78597E8C" w14:textId="77777777" w:rsidR="00325164" w:rsidRPr="00A165EB" w:rsidRDefault="00325164" w:rsidP="00325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7F247C">
      <w:rPr>
        <w:rFonts w:ascii="Arial" w:hAnsi="Arial" w:cs="Arial"/>
        <w:color w:val="FF0000"/>
        <w:lang w:eastAsia="ja-JP"/>
      </w:rPr>
      <w:t>[Name of]</w:t>
    </w:r>
    <w:r w:rsidRPr="00A165EB">
      <w:rPr>
        <w:rFonts w:ascii="Arial" w:hAnsi="Arial" w:cs="Arial"/>
        <w:lang w:eastAsia="ja-JP"/>
      </w:rPr>
      <w:t xml:space="preserve"> County</w:t>
    </w:r>
  </w:p>
  <w:p w14:paraId="1C58AC02" w14:textId="33DC8655" w:rsidR="00C96AE5" w:rsidRPr="00C96AE5" w:rsidRDefault="00C96AE5" w:rsidP="00C96AE5">
    <w:pPr>
      <w:pStyle w:val="Header"/>
      <w:rPr>
        <w:rFonts w:ascii="Arial" w:hAnsi="Arial" w:cs="Arial"/>
      </w:rPr>
    </w:pPr>
    <w:r w:rsidRPr="00C96AE5">
      <w:rPr>
        <w:rFonts w:ascii="Arial" w:hAnsi="Arial" w:cs="Arial"/>
      </w:rPr>
      <w:t>Independent Accountant</w:t>
    </w:r>
    <w:r w:rsidR="00F13D85">
      <w:rPr>
        <w:rFonts w:ascii="Arial" w:hAnsi="Arial" w:cs="Arial"/>
      </w:rPr>
      <w:t>’</w:t>
    </w:r>
    <w:r w:rsidRPr="00C96AE5">
      <w:rPr>
        <w:rFonts w:ascii="Arial" w:hAnsi="Arial" w:cs="Arial"/>
      </w:rPr>
      <w:t>s Report on</w:t>
    </w:r>
  </w:p>
  <w:p w14:paraId="10CB98FA" w14:textId="7FF828A8" w:rsidR="00C96AE5" w:rsidRPr="00C96AE5" w:rsidRDefault="00B31A4B" w:rsidP="00C96AE5">
    <w:pPr>
      <w:pStyle w:val="Header"/>
      <w:rPr>
        <w:rFonts w:ascii="Arial" w:hAnsi="Arial" w:cs="Arial"/>
      </w:rPr>
    </w:pPr>
    <w:r>
      <w:rPr>
        <w:rFonts w:ascii="Arial" w:hAnsi="Arial" w:cs="Arial"/>
      </w:rPr>
      <w:t xml:space="preserve">  </w:t>
    </w:r>
    <w:r w:rsidR="00C96AE5" w:rsidRPr="00C96AE5">
      <w:rPr>
        <w:rFonts w:ascii="Arial" w:hAnsi="Arial" w:cs="Arial"/>
      </w:rPr>
      <w:t>Applying Agreed-Upon Procedures</w:t>
    </w:r>
  </w:p>
  <w:p w14:paraId="58B64BB7" w14:textId="1751B382" w:rsidR="00C96AE5" w:rsidRPr="00C96AE5" w:rsidRDefault="00C96AE5" w:rsidP="00C96AE5">
    <w:pPr>
      <w:pStyle w:val="Header"/>
      <w:rPr>
        <w:rFonts w:ascii="Arial" w:hAnsi="Arial" w:cs="Arial"/>
      </w:rPr>
    </w:pPr>
    <w:r w:rsidRPr="00C96AE5">
      <w:rPr>
        <w:rFonts w:ascii="Arial" w:hAnsi="Arial" w:cs="Arial"/>
      </w:rPr>
      <w:t xml:space="preserve">Page </w:t>
    </w:r>
    <w:r w:rsidRPr="00C96AE5">
      <w:rPr>
        <w:rFonts w:ascii="Arial" w:hAnsi="Arial" w:cs="Arial"/>
      </w:rPr>
      <w:fldChar w:fldCharType="begin"/>
    </w:r>
    <w:r w:rsidRPr="00C96AE5">
      <w:rPr>
        <w:rFonts w:ascii="Arial" w:hAnsi="Arial" w:cs="Arial"/>
      </w:rPr>
      <w:instrText xml:space="preserve"> PAGE </w:instrText>
    </w:r>
    <w:r w:rsidRPr="00C96AE5">
      <w:rPr>
        <w:rFonts w:ascii="Arial" w:hAnsi="Arial" w:cs="Arial"/>
      </w:rPr>
      <w:fldChar w:fldCharType="separate"/>
    </w:r>
    <w:r w:rsidR="00CE4633">
      <w:rPr>
        <w:rFonts w:ascii="Arial" w:hAnsi="Arial" w:cs="Arial"/>
        <w:noProof/>
      </w:rPr>
      <w:t>4</w:t>
    </w:r>
    <w:r w:rsidRPr="00C96AE5">
      <w:rPr>
        <w:rFonts w:ascii="Arial" w:hAnsi="Arial" w:cs="Arial"/>
      </w:rPr>
      <w:fldChar w:fldCharType="end"/>
    </w:r>
  </w:p>
  <w:p w14:paraId="6483968D" w14:textId="3000158E" w:rsidR="00C96AE5" w:rsidRDefault="00C96AE5">
    <w:pPr>
      <w:pStyle w:val="Header"/>
    </w:pPr>
  </w:p>
  <w:p w14:paraId="0E47B012" w14:textId="77777777" w:rsidR="00782451" w:rsidRDefault="0078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7B14" w14:textId="77777777" w:rsidR="00967EDE" w:rsidRDefault="00967EDE" w:rsidP="00967EDE">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66B0C989" w14:textId="60AB69C0" w:rsidR="00732F72" w:rsidRPr="00917641" w:rsidRDefault="00732F72" w:rsidP="0091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8AB3C2C"/>
    <w:multiLevelType w:val="hybridMultilevel"/>
    <w:tmpl w:val="547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B135F"/>
    <w:multiLevelType w:val="hybridMultilevel"/>
    <w:tmpl w:val="FD8EC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057D6C"/>
    <w:multiLevelType w:val="hybridMultilevel"/>
    <w:tmpl w:val="ED8254FC"/>
    <w:lvl w:ilvl="0" w:tplc="DF3A6CD4">
      <w:start w:val="1"/>
      <w:numFmt w:val="decimal"/>
      <w:lvlText w:val="%1."/>
      <w:lvlJc w:val="left"/>
      <w:pPr>
        <w:tabs>
          <w:tab w:val="num" w:pos="810"/>
        </w:tabs>
        <w:ind w:left="81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F0170"/>
    <w:multiLevelType w:val="hybridMultilevel"/>
    <w:tmpl w:val="4AF4CAF0"/>
    <w:lvl w:ilvl="0" w:tplc="B15CC97C">
      <w:start w:val="1"/>
      <w:numFmt w:val="decimal"/>
      <w:lvlText w:val="%1."/>
      <w:lvlJc w:val="left"/>
      <w:pPr>
        <w:ind w:left="630" w:hanging="360"/>
      </w:pPr>
      <w:rPr>
        <w:strike w:val="0"/>
        <w:dstrike w:val="0"/>
        <w:u w:val="none"/>
        <w:effect w:val="none"/>
      </w:rPr>
    </w:lvl>
    <w:lvl w:ilvl="1" w:tplc="EFEE30C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5B5C61"/>
    <w:multiLevelType w:val="hybridMultilevel"/>
    <w:tmpl w:val="A2AE8170"/>
    <w:lvl w:ilvl="0" w:tplc="0409000F">
      <w:start w:val="1"/>
      <w:numFmt w:val="decimal"/>
      <w:lvlText w:val="%1."/>
      <w:lvlJc w:val="left"/>
      <w:pPr>
        <w:tabs>
          <w:tab w:val="num" w:pos="720"/>
        </w:tabs>
        <w:ind w:left="720" w:hanging="360"/>
      </w:pPr>
    </w:lvl>
    <w:lvl w:ilvl="1" w:tplc="12824BD8">
      <w:start w:val="1"/>
      <w:numFmt w:val="lowerLetter"/>
      <w:lvlText w:val="%2."/>
      <w:lvlJc w:val="left"/>
      <w:pPr>
        <w:tabs>
          <w:tab w:val="num" w:pos="1440"/>
        </w:tabs>
        <w:ind w:left="1440" w:hanging="360"/>
      </w:pPr>
      <w:rPr>
        <w:color w:val="auto"/>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12AAD"/>
    <w:multiLevelType w:val="hybridMultilevel"/>
    <w:tmpl w:val="C5C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3875F8"/>
    <w:multiLevelType w:val="hybridMultilevel"/>
    <w:tmpl w:val="1CCE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2598591">
    <w:abstractNumId w:val="0"/>
  </w:num>
  <w:num w:numId="2" w16cid:durableId="894463909">
    <w:abstractNumId w:val="1"/>
  </w:num>
  <w:num w:numId="3" w16cid:durableId="1221406404">
    <w:abstractNumId w:val="7"/>
  </w:num>
  <w:num w:numId="4" w16cid:durableId="1676108460">
    <w:abstractNumId w:val="10"/>
  </w:num>
  <w:num w:numId="5" w16cid:durableId="1354720599">
    <w:abstractNumId w:val="3"/>
  </w:num>
  <w:num w:numId="6" w16cid:durableId="730033203">
    <w:abstractNumId w:val="6"/>
  </w:num>
  <w:num w:numId="7" w16cid:durableId="248395179">
    <w:abstractNumId w:val="4"/>
  </w:num>
  <w:num w:numId="8" w16cid:durableId="1379554485">
    <w:abstractNumId w:val="9"/>
  </w:num>
  <w:num w:numId="9" w16cid:durableId="210969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315051">
    <w:abstractNumId w:val="5"/>
  </w:num>
  <w:num w:numId="11" w16cid:durableId="1772509876">
    <w:abstractNumId w:val="2"/>
  </w:num>
  <w:num w:numId="12" w16cid:durableId="386026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102ED"/>
    <w:rsid w:val="000150A9"/>
    <w:rsid w:val="00015158"/>
    <w:rsid w:val="00022E09"/>
    <w:rsid w:val="00023609"/>
    <w:rsid w:val="00024545"/>
    <w:rsid w:val="00025CE1"/>
    <w:rsid w:val="00030BB7"/>
    <w:rsid w:val="00033300"/>
    <w:rsid w:val="00041028"/>
    <w:rsid w:val="00041B3B"/>
    <w:rsid w:val="00043FC5"/>
    <w:rsid w:val="000463A9"/>
    <w:rsid w:val="000467B2"/>
    <w:rsid w:val="0004748B"/>
    <w:rsid w:val="000500A2"/>
    <w:rsid w:val="000510DB"/>
    <w:rsid w:val="000568A4"/>
    <w:rsid w:val="00064594"/>
    <w:rsid w:val="000726BB"/>
    <w:rsid w:val="00074161"/>
    <w:rsid w:val="0007638E"/>
    <w:rsid w:val="00080C2F"/>
    <w:rsid w:val="000835EE"/>
    <w:rsid w:val="00090DE0"/>
    <w:rsid w:val="00091986"/>
    <w:rsid w:val="000949F8"/>
    <w:rsid w:val="00095FBA"/>
    <w:rsid w:val="0009713F"/>
    <w:rsid w:val="0009717B"/>
    <w:rsid w:val="000A6B46"/>
    <w:rsid w:val="000B1122"/>
    <w:rsid w:val="000B4E8A"/>
    <w:rsid w:val="000B5865"/>
    <w:rsid w:val="000B7D0E"/>
    <w:rsid w:val="000C09E5"/>
    <w:rsid w:val="000C1336"/>
    <w:rsid w:val="000C21CA"/>
    <w:rsid w:val="000C4438"/>
    <w:rsid w:val="000D5310"/>
    <w:rsid w:val="000E2EC6"/>
    <w:rsid w:val="000E3B53"/>
    <w:rsid w:val="000F037E"/>
    <w:rsid w:val="000F424A"/>
    <w:rsid w:val="000F5B45"/>
    <w:rsid w:val="000F7931"/>
    <w:rsid w:val="00102AC4"/>
    <w:rsid w:val="00103D8B"/>
    <w:rsid w:val="00106739"/>
    <w:rsid w:val="00111866"/>
    <w:rsid w:val="0011743F"/>
    <w:rsid w:val="00117DE2"/>
    <w:rsid w:val="001213C1"/>
    <w:rsid w:val="00124F60"/>
    <w:rsid w:val="00127ECD"/>
    <w:rsid w:val="00137344"/>
    <w:rsid w:val="00144D92"/>
    <w:rsid w:val="0015689D"/>
    <w:rsid w:val="00164244"/>
    <w:rsid w:val="0018094F"/>
    <w:rsid w:val="0019120C"/>
    <w:rsid w:val="00194625"/>
    <w:rsid w:val="00196FF1"/>
    <w:rsid w:val="001A07AB"/>
    <w:rsid w:val="001A3B3B"/>
    <w:rsid w:val="001B36ED"/>
    <w:rsid w:val="001B42CB"/>
    <w:rsid w:val="001B539D"/>
    <w:rsid w:val="001C4FF0"/>
    <w:rsid w:val="001C67CF"/>
    <w:rsid w:val="001D0951"/>
    <w:rsid w:val="001D4338"/>
    <w:rsid w:val="001D519F"/>
    <w:rsid w:val="001E198D"/>
    <w:rsid w:val="001E22FE"/>
    <w:rsid w:val="001F038C"/>
    <w:rsid w:val="001F33B6"/>
    <w:rsid w:val="001F4610"/>
    <w:rsid w:val="0020037F"/>
    <w:rsid w:val="00205F58"/>
    <w:rsid w:val="00216317"/>
    <w:rsid w:val="002166CA"/>
    <w:rsid w:val="002213C5"/>
    <w:rsid w:val="00222B1C"/>
    <w:rsid w:val="00230127"/>
    <w:rsid w:val="002370E1"/>
    <w:rsid w:val="0023720F"/>
    <w:rsid w:val="002427D6"/>
    <w:rsid w:val="00247FFA"/>
    <w:rsid w:val="00254D9C"/>
    <w:rsid w:val="002577C1"/>
    <w:rsid w:val="00265486"/>
    <w:rsid w:val="002709E9"/>
    <w:rsid w:val="00271065"/>
    <w:rsid w:val="0028349A"/>
    <w:rsid w:val="00290928"/>
    <w:rsid w:val="0029101E"/>
    <w:rsid w:val="00291E6F"/>
    <w:rsid w:val="00292ED6"/>
    <w:rsid w:val="002932B8"/>
    <w:rsid w:val="002947E8"/>
    <w:rsid w:val="00296813"/>
    <w:rsid w:val="002B0C0C"/>
    <w:rsid w:val="002B5B3D"/>
    <w:rsid w:val="002C5473"/>
    <w:rsid w:val="002C6F63"/>
    <w:rsid w:val="002D150F"/>
    <w:rsid w:val="002D5641"/>
    <w:rsid w:val="002E0D9F"/>
    <w:rsid w:val="002F555B"/>
    <w:rsid w:val="002F55A0"/>
    <w:rsid w:val="00300F1F"/>
    <w:rsid w:val="00306268"/>
    <w:rsid w:val="003065F2"/>
    <w:rsid w:val="00310E23"/>
    <w:rsid w:val="00312F54"/>
    <w:rsid w:val="00314137"/>
    <w:rsid w:val="00315EE3"/>
    <w:rsid w:val="00324DAA"/>
    <w:rsid w:val="00325164"/>
    <w:rsid w:val="003323A1"/>
    <w:rsid w:val="0034109B"/>
    <w:rsid w:val="0035020E"/>
    <w:rsid w:val="003522A2"/>
    <w:rsid w:val="0035650C"/>
    <w:rsid w:val="003618E2"/>
    <w:rsid w:val="00367CE4"/>
    <w:rsid w:val="0037051A"/>
    <w:rsid w:val="0037071D"/>
    <w:rsid w:val="00372D7B"/>
    <w:rsid w:val="00377C63"/>
    <w:rsid w:val="00385F64"/>
    <w:rsid w:val="0038783D"/>
    <w:rsid w:val="00387B82"/>
    <w:rsid w:val="0039132D"/>
    <w:rsid w:val="00391747"/>
    <w:rsid w:val="00397207"/>
    <w:rsid w:val="003A2863"/>
    <w:rsid w:val="003A3DF3"/>
    <w:rsid w:val="003A4733"/>
    <w:rsid w:val="003B64CF"/>
    <w:rsid w:val="003C3CAC"/>
    <w:rsid w:val="003D0DE3"/>
    <w:rsid w:val="003D2D4C"/>
    <w:rsid w:val="003D4847"/>
    <w:rsid w:val="003D5262"/>
    <w:rsid w:val="003D7CD5"/>
    <w:rsid w:val="003E4D27"/>
    <w:rsid w:val="003E788C"/>
    <w:rsid w:val="003F5EF9"/>
    <w:rsid w:val="003F678C"/>
    <w:rsid w:val="003F6DFE"/>
    <w:rsid w:val="00406251"/>
    <w:rsid w:val="00406815"/>
    <w:rsid w:val="004069C8"/>
    <w:rsid w:val="00411606"/>
    <w:rsid w:val="004160D1"/>
    <w:rsid w:val="00416507"/>
    <w:rsid w:val="00432773"/>
    <w:rsid w:val="00437F6E"/>
    <w:rsid w:val="0044712F"/>
    <w:rsid w:val="004513EB"/>
    <w:rsid w:val="0045423B"/>
    <w:rsid w:val="004644D7"/>
    <w:rsid w:val="0046592F"/>
    <w:rsid w:val="004707EE"/>
    <w:rsid w:val="004711F9"/>
    <w:rsid w:val="0047122B"/>
    <w:rsid w:val="00491E07"/>
    <w:rsid w:val="00496748"/>
    <w:rsid w:val="004A29FD"/>
    <w:rsid w:val="004A5023"/>
    <w:rsid w:val="004A71D5"/>
    <w:rsid w:val="004C7958"/>
    <w:rsid w:val="004C7AA4"/>
    <w:rsid w:val="004F0F8F"/>
    <w:rsid w:val="004F21D2"/>
    <w:rsid w:val="004F71A2"/>
    <w:rsid w:val="004F7940"/>
    <w:rsid w:val="0050231F"/>
    <w:rsid w:val="00502768"/>
    <w:rsid w:val="0050621E"/>
    <w:rsid w:val="0051150F"/>
    <w:rsid w:val="00511FFD"/>
    <w:rsid w:val="005216AD"/>
    <w:rsid w:val="00530663"/>
    <w:rsid w:val="00541CAE"/>
    <w:rsid w:val="0054240B"/>
    <w:rsid w:val="00543E8C"/>
    <w:rsid w:val="00543FD4"/>
    <w:rsid w:val="00545545"/>
    <w:rsid w:val="0055243C"/>
    <w:rsid w:val="00552D7B"/>
    <w:rsid w:val="0055474D"/>
    <w:rsid w:val="0056236D"/>
    <w:rsid w:val="00570DC4"/>
    <w:rsid w:val="005750C3"/>
    <w:rsid w:val="0058599C"/>
    <w:rsid w:val="0059636F"/>
    <w:rsid w:val="00597F5A"/>
    <w:rsid w:val="005A5D0A"/>
    <w:rsid w:val="005B1231"/>
    <w:rsid w:val="005B1FAE"/>
    <w:rsid w:val="005C1365"/>
    <w:rsid w:val="005C44A9"/>
    <w:rsid w:val="005C6CEE"/>
    <w:rsid w:val="005C77E2"/>
    <w:rsid w:val="005D0302"/>
    <w:rsid w:val="005D413A"/>
    <w:rsid w:val="005D7A9C"/>
    <w:rsid w:val="005F23D1"/>
    <w:rsid w:val="005F3ED7"/>
    <w:rsid w:val="005F43A6"/>
    <w:rsid w:val="005F45C9"/>
    <w:rsid w:val="005F7080"/>
    <w:rsid w:val="0061087B"/>
    <w:rsid w:val="00610ED7"/>
    <w:rsid w:val="006172CA"/>
    <w:rsid w:val="006177C8"/>
    <w:rsid w:val="006178FE"/>
    <w:rsid w:val="006220DA"/>
    <w:rsid w:val="00622DC5"/>
    <w:rsid w:val="00625565"/>
    <w:rsid w:val="006267A2"/>
    <w:rsid w:val="006331CE"/>
    <w:rsid w:val="00641054"/>
    <w:rsid w:val="006432A4"/>
    <w:rsid w:val="0065255E"/>
    <w:rsid w:val="00652B23"/>
    <w:rsid w:val="00652C08"/>
    <w:rsid w:val="006549F1"/>
    <w:rsid w:val="006570B4"/>
    <w:rsid w:val="006575A4"/>
    <w:rsid w:val="00660993"/>
    <w:rsid w:val="00661397"/>
    <w:rsid w:val="00663903"/>
    <w:rsid w:val="00663DD7"/>
    <w:rsid w:val="006647FC"/>
    <w:rsid w:val="006754D4"/>
    <w:rsid w:val="00682CB7"/>
    <w:rsid w:val="00692537"/>
    <w:rsid w:val="00694015"/>
    <w:rsid w:val="00694B09"/>
    <w:rsid w:val="006A37E2"/>
    <w:rsid w:val="006C0259"/>
    <w:rsid w:val="006E267F"/>
    <w:rsid w:val="006E73D6"/>
    <w:rsid w:val="006F0B5A"/>
    <w:rsid w:val="006F676C"/>
    <w:rsid w:val="007016C4"/>
    <w:rsid w:val="007027FC"/>
    <w:rsid w:val="007065B3"/>
    <w:rsid w:val="007118C6"/>
    <w:rsid w:val="0071428E"/>
    <w:rsid w:val="00720B0B"/>
    <w:rsid w:val="00722237"/>
    <w:rsid w:val="00723688"/>
    <w:rsid w:val="00726BDA"/>
    <w:rsid w:val="00732F72"/>
    <w:rsid w:val="007347C0"/>
    <w:rsid w:val="00751F33"/>
    <w:rsid w:val="00753089"/>
    <w:rsid w:val="00757CA5"/>
    <w:rsid w:val="00760334"/>
    <w:rsid w:val="00764AAF"/>
    <w:rsid w:val="007700CF"/>
    <w:rsid w:val="00777868"/>
    <w:rsid w:val="00777E13"/>
    <w:rsid w:val="007806AB"/>
    <w:rsid w:val="007822E7"/>
    <w:rsid w:val="00782451"/>
    <w:rsid w:val="007824CC"/>
    <w:rsid w:val="00787255"/>
    <w:rsid w:val="00794CBA"/>
    <w:rsid w:val="007A29C7"/>
    <w:rsid w:val="007A4792"/>
    <w:rsid w:val="007A580B"/>
    <w:rsid w:val="007C095B"/>
    <w:rsid w:val="007C2AD0"/>
    <w:rsid w:val="007C65D5"/>
    <w:rsid w:val="007D078C"/>
    <w:rsid w:val="007D0AD7"/>
    <w:rsid w:val="007D5B83"/>
    <w:rsid w:val="007D745B"/>
    <w:rsid w:val="007E11F8"/>
    <w:rsid w:val="007E4464"/>
    <w:rsid w:val="007E5942"/>
    <w:rsid w:val="007E7122"/>
    <w:rsid w:val="007E7E74"/>
    <w:rsid w:val="007F2421"/>
    <w:rsid w:val="007F48BA"/>
    <w:rsid w:val="007F4B1F"/>
    <w:rsid w:val="008119A6"/>
    <w:rsid w:val="00831D24"/>
    <w:rsid w:val="0083375A"/>
    <w:rsid w:val="00843A64"/>
    <w:rsid w:val="00843CFD"/>
    <w:rsid w:val="00844626"/>
    <w:rsid w:val="0084465D"/>
    <w:rsid w:val="00844B4B"/>
    <w:rsid w:val="00845147"/>
    <w:rsid w:val="00847D40"/>
    <w:rsid w:val="008500CD"/>
    <w:rsid w:val="00850B76"/>
    <w:rsid w:val="0085110F"/>
    <w:rsid w:val="008529A5"/>
    <w:rsid w:val="008576AF"/>
    <w:rsid w:val="00860E78"/>
    <w:rsid w:val="008615E2"/>
    <w:rsid w:val="0087413A"/>
    <w:rsid w:val="00875586"/>
    <w:rsid w:val="00895262"/>
    <w:rsid w:val="008954DA"/>
    <w:rsid w:val="008A1699"/>
    <w:rsid w:val="008A5676"/>
    <w:rsid w:val="008A6642"/>
    <w:rsid w:val="008B0076"/>
    <w:rsid w:val="008B1631"/>
    <w:rsid w:val="008C05F8"/>
    <w:rsid w:val="008C3561"/>
    <w:rsid w:val="008C62C2"/>
    <w:rsid w:val="008D0D4C"/>
    <w:rsid w:val="008D287C"/>
    <w:rsid w:val="008D2DB3"/>
    <w:rsid w:val="008D4A6D"/>
    <w:rsid w:val="008F48D9"/>
    <w:rsid w:val="008F4AB0"/>
    <w:rsid w:val="00901878"/>
    <w:rsid w:val="00903F01"/>
    <w:rsid w:val="00917641"/>
    <w:rsid w:val="00931E15"/>
    <w:rsid w:val="00932661"/>
    <w:rsid w:val="009412D0"/>
    <w:rsid w:val="009458E2"/>
    <w:rsid w:val="00954699"/>
    <w:rsid w:val="00955C23"/>
    <w:rsid w:val="009633E1"/>
    <w:rsid w:val="00963630"/>
    <w:rsid w:val="00965849"/>
    <w:rsid w:val="00967EDE"/>
    <w:rsid w:val="00975354"/>
    <w:rsid w:val="00982FA1"/>
    <w:rsid w:val="00991BC0"/>
    <w:rsid w:val="00991E26"/>
    <w:rsid w:val="00992A20"/>
    <w:rsid w:val="009A72CE"/>
    <w:rsid w:val="009B0E27"/>
    <w:rsid w:val="009B61A8"/>
    <w:rsid w:val="009B71BD"/>
    <w:rsid w:val="009D3195"/>
    <w:rsid w:val="009E2D59"/>
    <w:rsid w:val="009F175F"/>
    <w:rsid w:val="009F1DD6"/>
    <w:rsid w:val="009F2121"/>
    <w:rsid w:val="009F270E"/>
    <w:rsid w:val="009F5D9D"/>
    <w:rsid w:val="00A039AA"/>
    <w:rsid w:val="00A054CC"/>
    <w:rsid w:val="00A15AC3"/>
    <w:rsid w:val="00A165EB"/>
    <w:rsid w:val="00A24A66"/>
    <w:rsid w:val="00A316FB"/>
    <w:rsid w:val="00A36814"/>
    <w:rsid w:val="00A42351"/>
    <w:rsid w:val="00A45E57"/>
    <w:rsid w:val="00A529B8"/>
    <w:rsid w:val="00A54A22"/>
    <w:rsid w:val="00A55EFD"/>
    <w:rsid w:val="00A577AE"/>
    <w:rsid w:val="00A6127B"/>
    <w:rsid w:val="00A62CB4"/>
    <w:rsid w:val="00A650C6"/>
    <w:rsid w:val="00A72708"/>
    <w:rsid w:val="00A73A90"/>
    <w:rsid w:val="00A767FD"/>
    <w:rsid w:val="00A8160B"/>
    <w:rsid w:val="00A854F0"/>
    <w:rsid w:val="00A85DE2"/>
    <w:rsid w:val="00A865F8"/>
    <w:rsid w:val="00A91748"/>
    <w:rsid w:val="00A921EF"/>
    <w:rsid w:val="00A94AE6"/>
    <w:rsid w:val="00AA4246"/>
    <w:rsid w:val="00AA445D"/>
    <w:rsid w:val="00AA46D6"/>
    <w:rsid w:val="00AA4925"/>
    <w:rsid w:val="00AB10B5"/>
    <w:rsid w:val="00AB148E"/>
    <w:rsid w:val="00AB3976"/>
    <w:rsid w:val="00AB54E0"/>
    <w:rsid w:val="00AB6139"/>
    <w:rsid w:val="00AB684A"/>
    <w:rsid w:val="00AC0883"/>
    <w:rsid w:val="00AC35EF"/>
    <w:rsid w:val="00AD1DCE"/>
    <w:rsid w:val="00AD2C35"/>
    <w:rsid w:val="00AD6629"/>
    <w:rsid w:val="00AD7EF6"/>
    <w:rsid w:val="00AE0387"/>
    <w:rsid w:val="00AE0434"/>
    <w:rsid w:val="00B07093"/>
    <w:rsid w:val="00B14642"/>
    <w:rsid w:val="00B17FBD"/>
    <w:rsid w:val="00B250C6"/>
    <w:rsid w:val="00B26098"/>
    <w:rsid w:val="00B26276"/>
    <w:rsid w:val="00B26AE9"/>
    <w:rsid w:val="00B31534"/>
    <w:rsid w:val="00B31A4B"/>
    <w:rsid w:val="00B35FF5"/>
    <w:rsid w:val="00B40E6A"/>
    <w:rsid w:val="00B44403"/>
    <w:rsid w:val="00B50EFE"/>
    <w:rsid w:val="00B52749"/>
    <w:rsid w:val="00B52F87"/>
    <w:rsid w:val="00B651EC"/>
    <w:rsid w:val="00B65FAB"/>
    <w:rsid w:val="00B7449A"/>
    <w:rsid w:val="00B8225A"/>
    <w:rsid w:val="00B85731"/>
    <w:rsid w:val="00B87053"/>
    <w:rsid w:val="00B94787"/>
    <w:rsid w:val="00B9524E"/>
    <w:rsid w:val="00B9646E"/>
    <w:rsid w:val="00BB0F1F"/>
    <w:rsid w:val="00BB7072"/>
    <w:rsid w:val="00BC14DA"/>
    <w:rsid w:val="00BC3824"/>
    <w:rsid w:val="00BC5D64"/>
    <w:rsid w:val="00BC60B4"/>
    <w:rsid w:val="00BD6240"/>
    <w:rsid w:val="00BD639F"/>
    <w:rsid w:val="00BD7B68"/>
    <w:rsid w:val="00BE303B"/>
    <w:rsid w:val="00BE60F8"/>
    <w:rsid w:val="00BF5B12"/>
    <w:rsid w:val="00BF6810"/>
    <w:rsid w:val="00BF73AB"/>
    <w:rsid w:val="00C03055"/>
    <w:rsid w:val="00C148AB"/>
    <w:rsid w:val="00C1675D"/>
    <w:rsid w:val="00C179F8"/>
    <w:rsid w:val="00C24375"/>
    <w:rsid w:val="00C3067F"/>
    <w:rsid w:val="00C41446"/>
    <w:rsid w:val="00C4679F"/>
    <w:rsid w:val="00C501FD"/>
    <w:rsid w:val="00C522CE"/>
    <w:rsid w:val="00C5500B"/>
    <w:rsid w:val="00C604B8"/>
    <w:rsid w:val="00C721E5"/>
    <w:rsid w:val="00C74B24"/>
    <w:rsid w:val="00C74FFD"/>
    <w:rsid w:val="00C823EF"/>
    <w:rsid w:val="00C84149"/>
    <w:rsid w:val="00C86564"/>
    <w:rsid w:val="00C931FC"/>
    <w:rsid w:val="00C94508"/>
    <w:rsid w:val="00C96AE5"/>
    <w:rsid w:val="00CA4D3E"/>
    <w:rsid w:val="00CA6B65"/>
    <w:rsid w:val="00CB1662"/>
    <w:rsid w:val="00CB4AD3"/>
    <w:rsid w:val="00CB5853"/>
    <w:rsid w:val="00CC2974"/>
    <w:rsid w:val="00CC48F4"/>
    <w:rsid w:val="00CD0FA3"/>
    <w:rsid w:val="00CD62C9"/>
    <w:rsid w:val="00CE2580"/>
    <w:rsid w:val="00CE4633"/>
    <w:rsid w:val="00CE6D3B"/>
    <w:rsid w:val="00CF4D59"/>
    <w:rsid w:val="00D03167"/>
    <w:rsid w:val="00D0633B"/>
    <w:rsid w:val="00D07791"/>
    <w:rsid w:val="00D216A0"/>
    <w:rsid w:val="00D24DE7"/>
    <w:rsid w:val="00D310EF"/>
    <w:rsid w:val="00D325DD"/>
    <w:rsid w:val="00D35C43"/>
    <w:rsid w:val="00D41431"/>
    <w:rsid w:val="00D41B0F"/>
    <w:rsid w:val="00D42997"/>
    <w:rsid w:val="00D5050B"/>
    <w:rsid w:val="00D53595"/>
    <w:rsid w:val="00D54864"/>
    <w:rsid w:val="00D54E02"/>
    <w:rsid w:val="00D63551"/>
    <w:rsid w:val="00D65093"/>
    <w:rsid w:val="00D658C2"/>
    <w:rsid w:val="00D70077"/>
    <w:rsid w:val="00D70DB8"/>
    <w:rsid w:val="00D741C3"/>
    <w:rsid w:val="00D8579D"/>
    <w:rsid w:val="00D96C64"/>
    <w:rsid w:val="00D97985"/>
    <w:rsid w:val="00DA6F96"/>
    <w:rsid w:val="00DA7187"/>
    <w:rsid w:val="00DB0652"/>
    <w:rsid w:val="00DB4F88"/>
    <w:rsid w:val="00DC5E38"/>
    <w:rsid w:val="00DE11D2"/>
    <w:rsid w:val="00DE17ED"/>
    <w:rsid w:val="00DE42BA"/>
    <w:rsid w:val="00DF1373"/>
    <w:rsid w:val="00DF5E3A"/>
    <w:rsid w:val="00DF6AB0"/>
    <w:rsid w:val="00DF7907"/>
    <w:rsid w:val="00E02C6F"/>
    <w:rsid w:val="00E11D1D"/>
    <w:rsid w:val="00E15826"/>
    <w:rsid w:val="00E1737D"/>
    <w:rsid w:val="00E3319A"/>
    <w:rsid w:val="00E42F27"/>
    <w:rsid w:val="00E43C4C"/>
    <w:rsid w:val="00E44BFF"/>
    <w:rsid w:val="00E468B7"/>
    <w:rsid w:val="00E533CE"/>
    <w:rsid w:val="00E53DED"/>
    <w:rsid w:val="00E61583"/>
    <w:rsid w:val="00E81FE4"/>
    <w:rsid w:val="00E90BE9"/>
    <w:rsid w:val="00E959C7"/>
    <w:rsid w:val="00EA7C01"/>
    <w:rsid w:val="00EB3FE0"/>
    <w:rsid w:val="00EB7083"/>
    <w:rsid w:val="00EC1C63"/>
    <w:rsid w:val="00EC6CB0"/>
    <w:rsid w:val="00EE2B82"/>
    <w:rsid w:val="00EE38A0"/>
    <w:rsid w:val="00EE4FDF"/>
    <w:rsid w:val="00EE7146"/>
    <w:rsid w:val="00EF44E9"/>
    <w:rsid w:val="00F034FD"/>
    <w:rsid w:val="00F07373"/>
    <w:rsid w:val="00F07724"/>
    <w:rsid w:val="00F13D85"/>
    <w:rsid w:val="00F14413"/>
    <w:rsid w:val="00F14AA0"/>
    <w:rsid w:val="00F20085"/>
    <w:rsid w:val="00F21012"/>
    <w:rsid w:val="00F26C14"/>
    <w:rsid w:val="00F3092E"/>
    <w:rsid w:val="00F34A9E"/>
    <w:rsid w:val="00F37FF4"/>
    <w:rsid w:val="00F43B57"/>
    <w:rsid w:val="00F50751"/>
    <w:rsid w:val="00F5317B"/>
    <w:rsid w:val="00F56C89"/>
    <w:rsid w:val="00F62B8D"/>
    <w:rsid w:val="00F6432F"/>
    <w:rsid w:val="00F72678"/>
    <w:rsid w:val="00F73420"/>
    <w:rsid w:val="00F83253"/>
    <w:rsid w:val="00F83D47"/>
    <w:rsid w:val="00F853E1"/>
    <w:rsid w:val="00F91A85"/>
    <w:rsid w:val="00F961BC"/>
    <w:rsid w:val="00F9738A"/>
    <w:rsid w:val="00FA1D6C"/>
    <w:rsid w:val="00FA59C9"/>
    <w:rsid w:val="00FB1759"/>
    <w:rsid w:val="00FB343A"/>
    <w:rsid w:val="00FB6600"/>
    <w:rsid w:val="00FB6615"/>
    <w:rsid w:val="00FC0F85"/>
    <w:rsid w:val="00FD0898"/>
    <w:rsid w:val="00FD33F6"/>
    <w:rsid w:val="00FE2294"/>
    <w:rsid w:val="00FE52DA"/>
    <w:rsid w:val="00FE54DF"/>
    <w:rsid w:val="00FF5AB7"/>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ACBE54"/>
  <w15:docId w15:val="{8BC295BE-0268-45A8-BB9D-144DF841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707EE"/>
    <w:rPr>
      <w:sz w:val="16"/>
      <w:szCs w:val="16"/>
    </w:rPr>
  </w:style>
  <w:style w:type="paragraph" w:styleId="CommentText">
    <w:name w:val="annotation text"/>
    <w:basedOn w:val="Normal"/>
    <w:link w:val="CommentTextChar"/>
    <w:uiPriority w:val="99"/>
    <w:rsid w:val="004707EE"/>
  </w:style>
  <w:style w:type="character" w:customStyle="1" w:styleId="CommentTextChar">
    <w:name w:val="Comment Text Char"/>
    <w:basedOn w:val="DefaultParagraphFont"/>
    <w:link w:val="CommentText"/>
    <w:uiPriority w:val="99"/>
    <w:rsid w:val="004707EE"/>
  </w:style>
  <w:style w:type="paragraph" w:styleId="CommentSubject">
    <w:name w:val="annotation subject"/>
    <w:basedOn w:val="CommentText"/>
    <w:next w:val="CommentText"/>
    <w:link w:val="CommentSubjectChar"/>
    <w:rsid w:val="004707EE"/>
    <w:rPr>
      <w:b/>
      <w:bCs/>
    </w:rPr>
  </w:style>
  <w:style w:type="character" w:customStyle="1" w:styleId="CommentSubjectChar">
    <w:name w:val="Comment Subject Char"/>
    <w:basedOn w:val="CommentTextChar"/>
    <w:link w:val="CommentSubject"/>
    <w:rsid w:val="004707EE"/>
    <w:rPr>
      <w:b/>
      <w:bCs/>
    </w:rPr>
  </w:style>
  <w:style w:type="character" w:customStyle="1" w:styleId="FootnoteTextChar">
    <w:name w:val="Footnote Text Char"/>
    <w:basedOn w:val="DefaultParagraphFont"/>
    <w:link w:val="FootnoteText"/>
    <w:rsid w:val="00FD0898"/>
  </w:style>
  <w:style w:type="paragraph" w:styleId="ListParagraph">
    <w:name w:val="List Paragraph"/>
    <w:basedOn w:val="Normal"/>
    <w:uiPriority w:val="34"/>
    <w:qFormat/>
    <w:rsid w:val="00FD0898"/>
    <w:pPr>
      <w:ind w:left="720"/>
      <w:contextualSpacing/>
    </w:pPr>
  </w:style>
  <w:style w:type="character" w:styleId="FollowedHyperlink">
    <w:name w:val="FollowedHyperlink"/>
    <w:basedOn w:val="DefaultParagraphFont"/>
    <w:rsid w:val="00F853E1"/>
    <w:rPr>
      <w:color w:val="800080" w:themeColor="followedHyperlink"/>
      <w:u w:val="single"/>
    </w:rPr>
  </w:style>
  <w:style w:type="paragraph" w:styleId="Header">
    <w:name w:val="header"/>
    <w:basedOn w:val="Normal"/>
    <w:link w:val="HeaderChar"/>
    <w:rsid w:val="00C96AE5"/>
    <w:pPr>
      <w:tabs>
        <w:tab w:val="center" w:pos="4680"/>
        <w:tab w:val="right" w:pos="9360"/>
      </w:tabs>
    </w:pPr>
  </w:style>
  <w:style w:type="character" w:customStyle="1" w:styleId="HeaderChar">
    <w:name w:val="Header Char"/>
    <w:basedOn w:val="DefaultParagraphFont"/>
    <w:link w:val="Header"/>
    <w:rsid w:val="00C96AE5"/>
  </w:style>
  <w:style w:type="paragraph" w:styleId="Footer">
    <w:name w:val="footer"/>
    <w:basedOn w:val="Normal"/>
    <w:link w:val="FooterChar"/>
    <w:uiPriority w:val="99"/>
    <w:rsid w:val="00C96AE5"/>
    <w:pPr>
      <w:tabs>
        <w:tab w:val="center" w:pos="4680"/>
        <w:tab w:val="right" w:pos="9360"/>
      </w:tabs>
    </w:pPr>
  </w:style>
  <w:style w:type="character" w:customStyle="1" w:styleId="FooterChar">
    <w:name w:val="Footer Char"/>
    <w:basedOn w:val="DefaultParagraphFont"/>
    <w:link w:val="Footer"/>
    <w:uiPriority w:val="99"/>
    <w:rsid w:val="00C96AE5"/>
  </w:style>
  <w:style w:type="character" w:customStyle="1" w:styleId="EndnoteTextChar">
    <w:name w:val="Endnote Text Char"/>
    <w:basedOn w:val="DefaultParagraphFont"/>
    <w:link w:val="EndnoteText"/>
    <w:uiPriority w:val="99"/>
    <w:semiHidden/>
    <w:rsid w:val="00A165EB"/>
  </w:style>
  <w:style w:type="paragraph" w:styleId="Revision">
    <w:name w:val="Revision"/>
    <w:hidden/>
    <w:uiPriority w:val="99"/>
    <w:semiHidden/>
    <w:rsid w:val="00B9524E"/>
  </w:style>
  <w:style w:type="character" w:styleId="UnresolvedMention">
    <w:name w:val="Unresolved Mention"/>
    <w:basedOn w:val="DefaultParagraphFont"/>
    <w:uiPriority w:val="99"/>
    <w:semiHidden/>
    <w:unhideWhenUsed/>
    <w:rsid w:val="00EF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8897">
      <w:bodyDiv w:val="1"/>
      <w:marLeft w:val="0"/>
      <w:marRight w:val="0"/>
      <w:marTop w:val="0"/>
      <w:marBottom w:val="0"/>
      <w:divBdr>
        <w:top w:val="none" w:sz="0" w:space="0" w:color="auto"/>
        <w:left w:val="none" w:sz="0" w:space="0" w:color="auto"/>
        <w:bottom w:val="none" w:sz="0" w:space="0" w:color="auto"/>
        <w:right w:val="none" w:sz="0" w:space="0" w:color="auto"/>
      </w:divBdr>
    </w:div>
    <w:div w:id="910046248">
      <w:bodyDiv w:val="1"/>
      <w:marLeft w:val="0"/>
      <w:marRight w:val="0"/>
      <w:marTop w:val="0"/>
      <w:marBottom w:val="0"/>
      <w:divBdr>
        <w:top w:val="none" w:sz="0" w:space="0" w:color="auto"/>
        <w:left w:val="none" w:sz="0" w:space="0" w:color="auto"/>
        <w:bottom w:val="none" w:sz="0" w:space="0" w:color="auto"/>
        <w:right w:val="none" w:sz="0" w:space="0" w:color="auto"/>
      </w:divBdr>
    </w:div>
    <w:div w:id="997926944">
      <w:bodyDiv w:val="1"/>
      <w:marLeft w:val="0"/>
      <w:marRight w:val="0"/>
      <w:marTop w:val="0"/>
      <w:marBottom w:val="0"/>
      <w:divBdr>
        <w:top w:val="none" w:sz="0" w:space="0" w:color="auto"/>
        <w:left w:val="none" w:sz="0" w:space="0" w:color="auto"/>
        <w:bottom w:val="none" w:sz="0" w:space="0" w:color="auto"/>
        <w:right w:val="none" w:sz="0" w:space="0" w:color="auto"/>
      </w:divBdr>
    </w:div>
    <w:div w:id="1028796713">
      <w:bodyDiv w:val="1"/>
      <w:marLeft w:val="0"/>
      <w:marRight w:val="0"/>
      <w:marTop w:val="0"/>
      <w:marBottom w:val="0"/>
      <w:divBdr>
        <w:top w:val="none" w:sz="0" w:space="0" w:color="auto"/>
        <w:left w:val="none" w:sz="0" w:space="0" w:color="auto"/>
        <w:bottom w:val="none" w:sz="0" w:space="0" w:color="auto"/>
        <w:right w:val="none" w:sz="0" w:space="0" w:color="auto"/>
      </w:divBdr>
    </w:div>
    <w:div w:id="1034621028">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0734">
      <w:bodyDiv w:val="1"/>
      <w:marLeft w:val="0"/>
      <w:marRight w:val="0"/>
      <w:marTop w:val="0"/>
      <w:marBottom w:val="0"/>
      <w:divBdr>
        <w:top w:val="none" w:sz="0" w:space="0" w:color="auto"/>
        <w:left w:val="none" w:sz="0" w:space="0" w:color="auto"/>
        <w:bottom w:val="none" w:sz="0" w:space="0" w:color="auto"/>
        <w:right w:val="none" w:sz="0" w:space="0" w:color="auto"/>
      </w:divBdr>
    </w:div>
    <w:div w:id="1542128344">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0874">
      <w:bodyDiv w:val="1"/>
      <w:marLeft w:val="0"/>
      <w:marRight w:val="0"/>
      <w:marTop w:val="0"/>
      <w:marBottom w:val="0"/>
      <w:divBdr>
        <w:top w:val="none" w:sz="0" w:space="0" w:color="auto"/>
        <w:left w:val="none" w:sz="0" w:space="0" w:color="auto"/>
        <w:bottom w:val="none" w:sz="0" w:space="0" w:color="auto"/>
        <w:right w:val="none" w:sz="0" w:space="0" w:color="auto"/>
      </w:divBdr>
    </w:div>
    <w:div w:id="2056656268">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B528-1B12-45BB-9DA8-F41942C5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1598</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9</cp:revision>
  <cp:lastPrinted>2009-01-05T13:24:00Z</cp:lastPrinted>
  <dcterms:created xsi:type="dcterms:W3CDTF">2023-01-30T14:54:00Z</dcterms:created>
  <dcterms:modified xsi:type="dcterms:W3CDTF">2024-01-22T20:07:00Z</dcterms:modified>
</cp:coreProperties>
</file>