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7CEA" w14:textId="77777777" w:rsidR="003566EF" w:rsidRDefault="003566EF">
      <w:pPr>
        <w:pStyle w:val="BodyText"/>
        <w:rPr>
          <w:sz w:val="20"/>
        </w:rPr>
      </w:pPr>
    </w:p>
    <w:p w14:paraId="2A53D894" w14:textId="77777777" w:rsidR="003566EF" w:rsidRDefault="003566EF">
      <w:pPr>
        <w:pStyle w:val="BodyText"/>
        <w:spacing w:before="4"/>
        <w:rPr>
          <w:sz w:val="22"/>
        </w:rPr>
      </w:pPr>
    </w:p>
    <w:p w14:paraId="70C7766C" w14:textId="1566D27C" w:rsidR="003566EF" w:rsidRDefault="009E2501" w:rsidP="00A47A8D">
      <w:pPr>
        <w:ind w:left="6840" w:right="661"/>
        <w:rPr>
          <w:rFonts w:ascii="Garamond"/>
        </w:rPr>
      </w:pPr>
      <w:r>
        <w:rPr>
          <w:noProof/>
        </w:rPr>
        <w:drawing>
          <wp:anchor distT="0" distB="0" distL="0" distR="0" simplePos="0" relativeHeight="15728640" behindDoc="0" locked="0" layoutInCell="1" allowOverlap="1" wp14:anchorId="4BA960AA" wp14:editId="3BEE3A6A">
            <wp:simplePos x="0" y="0"/>
            <wp:positionH relativeFrom="page">
              <wp:posOffset>899160</wp:posOffset>
            </wp:positionH>
            <wp:positionV relativeFrom="paragraph">
              <wp:posOffset>-306272</wp:posOffset>
            </wp:positionV>
            <wp:extent cx="3489325" cy="11829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489325" cy="1182989"/>
                    </a:xfrm>
                    <a:prstGeom prst="rect">
                      <a:avLst/>
                    </a:prstGeom>
                  </pic:spPr>
                </pic:pic>
              </a:graphicData>
            </a:graphic>
          </wp:anchor>
        </w:drawing>
      </w:r>
      <w:r>
        <w:rPr>
          <w:rFonts w:ascii="Century Gothic"/>
          <w:b/>
        </w:rPr>
        <w:t>Public Affairs</w:t>
      </w:r>
      <w:r>
        <w:rPr>
          <w:rFonts w:ascii="Century Gothic"/>
          <w:b/>
          <w:spacing w:val="1"/>
        </w:rPr>
        <w:t xml:space="preserve"> </w:t>
      </w:r>
      <w:r>
        <w:rPr>
          <w:rFonts w:ascii="Garamond"/>
        </w:rPr>
        <w:t>Contact:</w:t>
      </w:r>
      <w:r>
        <w:rPr>
          <w:rFonts w:ascii="Garamond"/>
          <w:spacing w:val="-3"/>
        </w:rPr>
        <w:t xml:space="preserve"> </w:t>
      </w:r>
      <w:r w:rsidR="00A47A8D">
        <w:rPr>
          <w:rFonts w:ascii="Garamond"/>
        </w:rPr>
        <w:t>Marc Kovac</w:t>
      </w:r>
      <w:r>
        <w:rPr>
          <w:rFonts w:ascii="Garamond"/>
          <w:spacing w:val="-52"/>
        </w:rPr>
        <w:t xml:space="preserve"> </w:t>
      </w:r>
      <w:r w:rsidR="00A47A8D">
        <w:rPr>
          <w:rFonts w:ascii="Garamond"/>
        </w:rPr>
        <w:t>press@ohioauditor.gov</w:t>
      </w:r>
    </w:p>
    <w:p w14:paraId="2F1703FF" w14:textId="77777777" w:rsidR="003566EF" w:rsidRDefault="003566EF" w:rsidP="00267523">
      <w:pPr>
        <w:pStyle w:val="BodyText"/>
        <w:rPr>
          <w:rFonts w:ascii="Garamond"/>
          <w:sz w:val="20"/>
        </w:rPr>
      </w:pPr>
    </w:p>
    <w:p w14:paraId="210123BB" w14:textId="77777777" w:rsidR="003566EF" w:rsidRDefault="003566EF" w:rsidP="00267523">
      <w:pPr>
        <w:pStyle w:val="BodyText"/>
        <w:rPr>
          <w:rFonts w:ascii="Garamond"/>
          <w:sz w:val="20"/>
        </w:rPr>
      </w:pPr>
    </w:p>
    <w:p w14:paraId="43C48B75" w14:textId="77777777" w:rsidR="003566EF" w:rsidRDefault="003566EF" w:rsidP="00267523">
      <w:pPr>
        <w:pStyle w:val="BodyText"/>
        <w:rPr>
          <w:rFonts w:ascii="Garamond"/>
          <w:sz w:val="20"/>
        </w:rPr>
      </w:pPr>
    </w:p>
    <w:p w14:paraId="6626EF21" w14:textId="77777777" w:rsidR="003566EF" w:rsidRDefault="003566EF" w:rsidP="00267523">
      <w:pPr>
        <w:pStyle w:val="BodyText"/>
        <w:spacing w:before="8"/>
        <w:rPr>
          <w:rFonts w:ascii="Garamond"/>
          <w:sz w:val="19"/>
        </w:rPr>
      </w:pPr>
    </w:p>
    <w:p w14:paraId="7EB0A6D7" w14:textId="77777777" w:rsidR="003566EF" w:rsidRDefault="009E2501" w:rsidP="00267523">
      <w:pPr>
        <w:spacing w:before="90"/>
        <w:rPr>
          <w:b/>
        </w:rPr>
      </w:pPr>
      <w:r>
        <w:rPr>
          <w:b/>
          <w:u w:val="single"/>
        </w:rPr>
        <w:t>For</w:t>
      </w:r>
      <w:r>
        <w:rPr>
          <w:b/>
          <w:spacing w:val="-1"/>
          <w:u w:val="single"/>
        </w:rPr>
        <w:t xml:space="preserve"> </w:t>
      </w:r>
      <w:r>
        <w:rPr>
          <w:b/>
          <w:u w:val="single"/>
        </w:rPr>
        <w:t>Immediate Release:</w:t>
      </w:r>
    </w:p>
    <w:p w14:paraId="59FD8ED9" w14:textId="37827AE1" w:rsidR="003566EF" w:rsidRDefault="00CC239B" w:rsidP="00267523">
      <w:pPr>
        <w:spacing w:before="3"/>
      </w:pPr>
      <w:r>
        <w:t>April</w:t>
      </w:r>
      <w:r w:rsidR="009E2501">
        <w:rPr>
          <w:spacing w:val="1"/>
        </w:rPr>
        <w:t xml:space="preserve"> </w:t>
      </w:r>
      <w:r w:rsidR="009E2501">
        <w:t>202</w:t>
      </w:r>
      <w:r w:rsidR="008E6225">
        <w:t>2</w:t>
      </w:r>
    </w:p>
    <w:p w14:paraId="6F5E07B3" w14:textId="77777777" w:rsidR="003566EF" w:rsidRDefault="003566EF" w:rsidP="00267523">
      <w:pPr>
        <w:pStyle w:val="BodyText"/>
        <w:rPr>
          <w:sz w:val="22"/>
        </w:rPr>
      </w:pPr>
    </w:p>
    <w:p w14:paraId="055A5B50" w14:textId="10217EE1" w:rsidR="003566EF" w:rsidRDefault="009E2501" w:rsidP="00267523">
      <w:pPr>
        <w:pStyle w:val="Title"/>
        <w:ind w:left="0"/>
      </w:pPr>
      <w:r>
        <w:t>Sunshine</w:t>
      </w:r>
      <w:r>
        <w:rPr>
          <w:spacing w:val="-6"/>
        </w:rPr>
        <w:t xml:space="preserve"> </w:t>
      </w:r>
      <w:r>
        <w:t>Week:</w:t>
      </w:r>
      <w:r>
        <w:rPr>
          <w:spacing w:val="-5"/>
        </w:rPr>
        <w:t xml:space="preserve"> </w:t>
      </w:r>
      <w:r>
        <w:t>Auditor</w:t>
      </w:r>
      <w:r>
        <w:rPr>
          <w:spacing w:val="-5"/>
        </w:rPr>
        <w:t xml:space="preserve"> </w:t>
      </w:r>
      <w:r>
        <w:t>Faber</w:t>
      </w:r>
      <w:r>
        <w:rPr>
          <w:spacing w:val="-6"/>
        </w:rPr>
        <w:t xml:space="preserve"> </w:t>
      </w:r>
      <w:r>
        <w:t>Releases</w:t>
      </w:r>
      <w:r>
        <w:rPr>
          <w:spacing w:val="-2"/>
        </w:rPr>
        <w:t xml:space="preserve"> </w:t>
      </w:r>
      <w:r w:rsidR="00BF1BE7">
        <w:t>Second</w:t>
      </w:r>
      <w:r>
        <w:rPr>
          <w:spacing w:val="-4"/>
        </w:rPr>
        <w:t xml:space="preserve"> </w:t>
      </w:r>
      <w:r>
        <w:t>Year</w:t>
      </w:r>
      <w:r>
        <w:rPr>
          <w:spacing w:val="-5"/>
        </w:rPr>
        <w:t xml:space="preserve"> </w:t>
      </w:r>
      <w:r>
        <w:t>S</w:t>
      </w:r>
      <w:r w:rsidR="00BF1BE7">
        <w:t>t</w:t>
      </w:r>
      <w:r>
        <w:t>a</w:t>
      </w:r>
      <w:r w:rsidR="00BF1BE7">
        <w:t>R</w:t>
      </w:r>
      <w:r>
        <w:t>S</w:t>
      </w:r>
      <w:r>
        <w:rPr>
          <w:spacing w:val="-2"/>
        </w:rPr>
        <w:t xml:space="preserve"> </w:t>
      </w:r>
      <w:r>
        <w:t>Report</w:t>
      </w:r>
    </w:p>
    <w:p w14:paraId="766DB425" w14:textId="4B0B993B" w:rsidR="003566EF" w:rsidRDefault="009E2501" w:rsidP="00267523">
      <w:pPr>
        <w:pStyle w:val="BodyText"/>
        <w:spacing w:before="276" w:line="244" w:lineRule="auto"/>
        <w:ind w:right="319"/>
      </w:pPr>
      <w:r>
        <w:rPr>
          <w:i/>
        </w:rPr>
        <w:t>Columbus</w:t>
      </w:r>
      <w:r>
        <w:rPr>
          <w:i/>
          <w:spacing w:val="-1"/>
        </w:rPr>
        <w:t xml:space="preserve"> </w:t>
      </w:r>
      <w:r>
        <w:t>–</w:t>
      </w:r>
      <w:r>
        <w:rPr>
          <w:spacing w:val="-2"/>
        </w:rPr>
        <w:t xml:space="preserve"> </w:t>
      </w:r>
      <w:r>
        <w:t>In</w:t>
      </w:r>
      <w:r>
        <w:rPr>
          <w:spacing w:val="-1"/>
        </w:rPr>
        <w:t xml:space="preserve"> </w:t>
      </w:r>
      <w:r>
        <w:t>conjunction</w:t>
      </w:r>
      <w:r>
        <w:rPr>
          <w:spacing w:val="-2"/>
        </w:rPr>
        <w:t xml:space="preserve"> </w:t>
      </w:r>
      <w:r>
        <w:t>with</w:t>
      </w:r>
      <w:r>
        <w:rPr>
          <w:spacing w:val="-2"/>
        </w:rPr>
        <w:t xml:space="preserve"> </w:t>
      </w:r>
      <w:r>
        <w:t>Sunshine</w:t>
      </w:r>
      <w:r>
        <w:rPr>
          <w:spacing w:val="-4"/>
        </w:rPr>
        <w:t xml:space="preserve"> </w:t>
      </w:r>
      <w:r>
        <w:t>Week,</w:t>
      </w:r>
      <w:r>
        <w:rPr>
          <w:spacing w:val="-2"/>
        </w:rPr>
        <w:t xml:space="preserve"> </w:t>
      </w:r>
      <w:r>
        <w:t>Auditor</w:t>
      </w:r>
      <w:r>
        <w:rPr>
          <w:spacing w:val="-2"/>
        </w:rPr>
        <w:t xml:space="preserve"> </w:t>
      </w:r>
      <w:r>
        <w:t>of</w:t>
      </w:r>
      <w:r>
        <w:rPr>
          <w:spacing w:val="-2"/>
        </w:rPr>
        <w:t xml:space="preserve"> </w:t>
      </w:r>
      <w:r>
        <w:t>State</w:t>
      </w:r>
      <w:r>
        <w:rPr>
          <w:spacing w:val="-4"/>
        </w:rPr>
        <w:t xml:space="preserve"> </w:t>
      </w:r>
      <w:r>
        <w:t>Keith</w:t>
      </w:r>
      <w:r>
        <w:rPr>
          <w:spacing w:val="2"/>
        </w:rPr>
        <w:t xml:space="preserve"> </w:t>
      </w:r>
      <w:r>
        <w:t>Faber</w:t>
      </w:r>
      <w:r>
        <w:rPr>
          <w:spacing w:val="-2"/>
        </w:rPr>
        <w:t xml:space="preserve"> </w:t>
      </w:r>
      <w:r>
        <w:t>announced</w:t>
      </w:r>
      <w:r>
        <w:rPr>
          <w:spacing w:val="-2"/>
        </w:rPr>
        <w:t xml:space="preserve"> </w:t>
      </w:r>
      <w:r>
        <w:t>over</w:t>
      </w:r>
      <w:r>
        <w:rPr>
          <w:spacing w:val="-57"/>
        </w:rPr>
        <w:t xml:space="preserve"> </w:t>
      </w:r>
      <w:r w:rsidR="00BF1BE7">
        <w:t>3,500</w:t>
      </w:r>
      <w:r>
        <w:rPr>
          <w:spacing w:val="-2"/>
        </w:rPr>
        <w:t xml:space="preserve"> </w:t>
      </w:r>
      <w:r>
        <w:t>reviews of</w:t>
      </w:r>
      <w:r>
        <w:rPr>
          <w:spacing w:val="-1"/>
        </w:rPr>
        <w:t xml:space="preserve"> </w:t>
      </w:r>
      <w:r>
        <w:t>Sunshine</w:t>
      </w:r>
      <w:r>
        <w:rPr>
          <w:spacing w:val="-4"/>
        </w:rPr>
        <w:t xml:space="preserve"> </w:t>
      </w:r>
      <w:r>
        <w:t>Law compliance</w:t>
      </w:r>
      <w:r>
        <w:rPr>
          <w:spacing w:val="-3"/>
        </w:rPr>
        <w:t xml:space="preserve"> </w:t>
      </w:r>
      <w:r>
        <w:t>are</w:t>
      </w:r>
      <w:r>
        <w:rPr>
          <w:spacing w:val="2"/>
        </w:rPr>
        <w:t xml:space="preserve"> </w:t>
      </w:r>
      <w:r>
        <w:t>available</w:t>
      </w:r>
      <w:r>
        <w:rPr>
          <w:spacing w:val="-4"/>
        </w:rPr>
        <w:t xml:space="preserve"> </w:t>
      </w:r>
      <w:r>
        <w:t>on</w:t>
      </w:r>
      <w:r>
        <w:rPr>
          <w:spacing w:val="-1"/>
        </w:rPr>
        <w:t xml:space="preserve"> </w:t>
      </w:r>
      <w:r>
        <w:t>the</w:t>
      </w:r>
      <w:r>
        <w:rPr>
          <w:spacing w:val="-3"/>
        </w:rPr>
        <w:t xml:space="preserve"> </w:t>
      </w:r>
      <w:r>
        <w:t>Auditor’s</w:t>
      </w:r>
      <w:r>
        <w:rPr>
          <w:spacing w:val="-1"/>
        </w:rPr>
        <w:t xml:space="preserve"> </w:t>
      </w:r>
      <w:r>
        <w:t>S</w:t>
      </w:r>
      <w:r w:rsidR="00BF1BE7">
        <w:t>T</w:t>
      </w:r>
      <w:r>
        <w:t>aRS website.</w:t>
      </w:r>
    </w:p>
    <w:p w14:paraId="788FF2FE" w14:textId="0C4CD15A" w:rsidR="003566EF" w:rsidRDefault="009E2501" w:rsidP="00267523">
      <w:pPr>
        <w:pStyle w:val="BodyText"/>
        <w:ind w:right="1032"/>
        <w:rPr>
          <w:sz w:val="23"/>
        </w:rPr>
      </w:pPr>
      <w:r>
        <w:t>Auditor</w:t>
      </w:r>
      <w:r>
        <w:rPr>
          <w:spacing w:val="-2"/>
        </w:rPr>
        <w:t xml:space="preserve"> </w:t>
      </w:r>
      <w:r>
        <w:t>Faber</w:t>
      </w:r>
      <w:r>
        <w:rPr>
          <w:spacing w:val="-2"/>
        </w:rPr>
        <w:t xml:space="preserve"> </w:t>
      </w:r>
      <w:r>
        <w:t>launched</w:t>
      </w:r>
      <w:r>
        <w:rPr>
          <w:spacing w:val="-1"/>
        </w:rPr>
        <w:t xml:space="preserve"> </w:t>
      </w:r>
      <w:r>
        <w:t>the</w:t>
      </w:r>
      <w:r>
        <w:rPr>
          <w:spacing w:val="-4"/>
        </w:rPr>
        <w:t xml:space="preserve"> </w:t>
      </w:r>
      <w:r>
        <w:t>StaRS program</w:t>
      </w:r>
      <w:r>
        <w:rPr>
          <w:spacing w:val="-4"/>
        </w:rPr>
        <w:t xml:space="preserve"> </w:t>
      </w:r>
      <w:r>
        <w:t>in</w:t>
      </w:r>
      <w:r>
        <w:rPr>
          <w:spacing w:val="-2"/>
        </w:rPr>
        <w:t xml:space="preserve"> </w:t>
      </w:r>
      <w:r>
        <w:t>2019</w:t>
      </w:r>
      <w:r>
        <w:rPr>
          <w:spacing w:val="3"/>
        </w:rPr>
        <w:t xml:space="preserve"> </w:t>
      </w:r>
      <w:r>
        <w:t>in</w:t>
      </w:r>
      <w:r>
        <w:rPr>
          <w:spacing w:val="-2"/>
        </w:rPr>
        <w:t xml:space="preserve"> </w:t>
      </w:r>
      <w:r>
        <w:t>an</w:t>
      </w:r>
      <w:r>
        <w:rPr>
          <w:spacing w:val="-1"/>
        </w:rPr>
        <w:t xml:space="preserve"> </w:t>
      </w:r>
      <w:r>
        <w:t>effort</w:t>
      </w:r>
      <w:r>
        <w:rPr>
          <w:spacing w:val="-4"/>
        </w:rPr>
        <w:t xml:space="preserve"> </w:t>
      </w:r>
      <w:r>
        <w:t>to</w:t>
      </w:r>
      <w:r>
        <w:rPr>
          <w:spacing w:val="-2"/>
        </w:rPr>
        <w:t xml:space="preserve"> </w:t>
      </w:r>
      <w:r>
        <w:t>promote</w:t>
      </w:r>
      <w:r>
        <w:rPr>
          <w:spacing w:val="-3"/>
        </w:rPr>
        <w:t xml:space="preserve"> </w:t>
      </w:r>
      <w:r>
        <w:t>government</w:t>
      </w:r>
      <w:r>
        <w:rPr>
          <w:spacing w:val="-57"/>
        </w:rPr>
        <w:t xml:space="preserve"> </w:t>
      </w:r>
    </w:p>
    <w:p w14:paraId="32D77F56" w14:textId="2876FF93" w:rsidR="00BF1BE7" w:rsidRDefault="00BF1BE7" w:rsidP="00CC239B">
      <w:pPr>
        <w:pStyle w:val="BodyText"/>
        <w:spacing w:before="120"/>
        <w:ind w:right="101"/>
      </w:pPr>
      <w:r>
        <w:t>“The goal of the StaRS program is to encourage public agencies to strive for greater transparency</w:t>
      </w:r>
      <w:r w:rsidR="005A3394">
        <w:t>,</w:t>
      </w:r>
      <w:r>
        <w:t xml:space="preserve"> and two years into the program, we are seeing those improvements,” Auditor Faber said. </w:t>
      </w:r>
      <w:r w:rsidR="005A3394">
        <w:t>“</w:t>
      </w:r>
      <w:r>
        <w:t>Through this program</w:t>
      </w:r>
      <w:r w:rsidR="005A3394">
        <w:t>, we have been able to recognize the entities excelling in open records and identify the areas where we can help our local partners get better so Ohioans have the access they deserve to public information.”</w:t>
      </w:r>
    </w:p>
    <w:p w14:paraId="5D524621" w14:textId="7B17CB08" w:rsidR="003566EF" w:rsidRDefault="009E2501" w:rsidP="00CC239B">
      <w:pPr>
        <w:pStyle w:val="BodyText"/>
        <w:spacing w:before="120"/>
      </w:pPr>
      <w:r>
        <w:t>All</w:t>
      </w:r>
      <w:r>
        <w:rPr>
          <w:spacing w:val="-5"/>
        </w:rPr>
        <w:t xml:space="preserve"> </w:t>
      </w:r>
      <w:r>
        <w:t>StaRS</w:t>
      </w:r>
      <w:r>
        <w:rPr>
          <w:spacing w:val="-1"/>
        </w:rPr>
        <w:t xml:space="preserve"> </w:t>
      </w:r>
      <w:r>
        <w:t>results</w:t>
      </w:r>
      <w:r>
        <w:rPr>
          <w:spacing w:val="-2"/>
        </w:rPr>
        <w:t xml:space="preserve"> </w:t>
      </w:r>
      <w:r>
        <w:t>are</w:t>
      </w:r>
      <w:r>
        <w:rPr>
          <w:spacing w:val="1"/>
        </w:rPr>
        <w:t xml:space="preserve"> </w:t>
      </w:r>
      <w:r>
        <w:t>available</w:t>
      </w:r>
      <w:r>
        <w:rPr>
          <w:spacing w:val="-1"/>
        </w:rPr>
        <w:t xml:space="preserve"> </w:t>
      </w:r>
      <w:hyperlink r:id="rId5">
        <w:r>
          <w:rPr>
            <w:color w:val="0462C1"/>
            <w:u w:val="single" w:color="0462C1"/>
          </w:rPr>
          <w:t>online</w:t>
        </w:r>
        <w:r>
          <w:t>.</w:t>
        </w:r>
      </w:hyperlink>
    </w:p>
    <w:p w14:paraId="5AD4EA51" w14:textId="053EE126" w:rsidR="00267523" w:rsidRDefault="00267523" w:rsidP="00267523">
      <w:pPr>
        <w:pStyle w:val="BodyText"/>
      </w:pPr>
      <w:r>
        <w:rPr>
          <w:noProof/>
          <w:sz w:val="20"/>
        </w:rPr>
        <w:drawing>
          <wp:anchor distT="0" distB="0" distL="114300" distR="114300" simplePos="0" relativeHeight="251660288" behindDoc="0" locked="0" layoutInCell="1" allowOverlap="1" wp14:anchorId="42A18EA7" wp14:editId="26DCA784">
            <wp:simplePos x="0" y="0"/>
            <wp:positionH relativeFrom="column">
              <wp:posOffset>1957070</wp:posOffset>
            </wp:positionH>
            <wp:positionV relativeFrom="paragraph">
              <wp:posOffset>334783</wp:posOffset>
            </wp:positionV>
            <wp:extent cx="2054860" cy="1028700"/>
            <wp:effectExtent l="0" t="0" r="254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4860" cy="1028700"/>
                    </a:xfrm>
                    <a:prstGeom prst="rect">
                      <a:avLst/>
                    </a:prstGeom>
                  </pic:spPr>
                </pic:pic>
              </a:graphicData>
            </a:graphic>
            <wp14:sizeRelH relativeFrom="page">
              <wp14:pctWidth>0</wp14:pctWidth>
            </wp14:sizeRelH>
            <wp14:sizeRelV relativeFrom="page">
              <wp14:pctHeight>0</wp14:pctHeight>
            </wp14:sizeRelV>
          </wp:anchor>
        </w:drawing>
      </w:r>
    </w:p>
    <w:p w14:paraId="209E4FC2" w14:textId="77777777" w:rsidR="00267523" w:rsidRDefault="00267523" w:rsidP="00267523">
      <w:pPr>
        <w:pStyle w:val="BodyText"/>
        <w:spacing w:before="3"/>
        <w:rPr>
          <w:rFonts w:ascii="Century Gothic"/>
          <w:b/>
          <w:sz w:val="28"/>
        </w:rPr>
      </w:pPr>
    </w:p>
    <w:p w14:paraId="0584E1E0" w14:textId="3D4524B7" w:rsidR="00267523" w:rsidRDefault="00267523" w:rsidP="00267523">
      <w:pPr>
        <w:pStyle w:val="BodyText"/>
        <w:spacing w:before="3"/>
        <w:rPr>
          <w:rFonts w:ascii="Century Gothic"/>
          <w:b/>
          <w:sz w:val="28"/>
        </w:rPr>
      </w:pPr>
      <w:r>
        <w:rPr>
          <w:rFonts w:ascii="Century Gothic"/>
          <w:b/>
          <w:sz w:val="28"/>
        </w:rPr>
        <w:t>StaRS</w:t>
      </w:r>
      <w:r>
        <w:rPr>
          <w:rFonts w:ascii="Century Gothic"/>
          <w:b/>
          <w:spacing w:val="-3"/>
          <w:sz w:val="28"/>
        </w:rPr>
        <w:t xml:space="preserve"> </w:t>
      </w:r>
      <w:r>
        <w:rPr>
          <w:rFonts w:ascii="Century Gothic"/>
          <w:b/>
          <w:sz w:val="28"/>
        </w:rPr>
        <w:t>launched</w:t>
      </w:r>
    </w:p>
    <w:p w14:paraId="55DA0C31" w14:textId="77777777" w:rsidR="00267523" w:rsidRDefault="00267523" w:rsidP="00267523">
      <w:pPr>
        <w:pStyle w:val="TableParagraph"/>
        <w:spacing w:before="118"/>
        <w:ind w:left="0"/>
      </w:pPr>
      <w:r>
        <w:t>In</w:t>
      </w:r>
      <w:r>
        <w:rPr>
          <w:spacing w:val="-2"/>
        </w:rPr>
        <w:t xml:space="preserve"> </w:t>
      </w:r>
      <w:r>
        <w:t>March</w:t>
      </w:r>
      <w:r>
        <w:rPr>
          <w:spacing w:val="-1"/>
        </w:rPr>
        <w:t xml:space="preserve"> </w:t>
      </w:r>
      <w:r>
        <w:t>2019,</w:t>
      </w:r>
      <w:r>
        <w:rPr>
          <w:spacing w:val="-2"/>
        </w:rPr>
        <w:t xml:space="preserve"> </w:t>
      </w:r>
      <w:r>
        <w:t>Ohio</w:t>
      </w:r>
      <w:r>
        <w:rPr>
          <w:spacing w:val="-1"/>
        </w:rPr>
        <w:t xml:space="preserve"> </w:t>
      </w:r>
      <w:r>
        <w:t>Auditor of</w:t>
      </w:r>
      <w:r>
        <w:rPr>
          <w:spacing w:val="-6"/>
        </w:rPr>
        <w:t xml:space="preserve"> </w:t>
      </w:r>
      <w:r>
        <w:t>State</w:t>
      </w:r>
      <w:r>
        <w:rPr>
          <w:spacing w:val="1"/>
        </w:rPr>
        <w:t xml:space="preserve"> </w:t>
      </w:r>
      <w:r>
        <w:t>Keith</w:t>
      </w:r>
      <w:r>
        <w:rPr>
          <w:spacing w:val="-2"/>
        </w:rPr>
        <w:t xml:space="preserve"> </w:t>
      </w:r>
      <w:r>
        <w:t>Faber</w:t>
      </w:r>
      <w:r>
        <w:rPr>
          <w:spacing w:val="-5"/>
        </w:rPr>
        <w:t xml:space="preserve"> </w:t>
      </w:r>
      <w:r>
        <w:t>announced</w:t>
      </w:r>
      <w:r>
        <w:rPr>
          <w:spacing w:val="-1"/>
        </w:rPr>
        <w:t xml:space="preserve"> </w:t>
      </w:r>
      <w:r>
        <w:t>his</w:t>
      </w:r>
      <w:r>
        <w:rPr>
          <w:spacing w:val="-2"/>
        </w:rPr>
        <w:t xml:space="preserve"> </w:t>
      </w:r>
      <w:r>
        <w:t>plan</w:t>
      </w:r>
      <w:r>
        <w:rPr>
          <w:spacing w:val="-1"/>
        </w:rPr>
        <w:t xml:space="preserve"> </w:t>
      </w:r>
      <w:r>
        <w:t>to</w:t>
      </w:r>
      <w:r>
        <w:rPr>
          <w:spacing w:val="-1"/>
        </w:rPr>
        <w:t xml:space="preserve"> </w:t>
      </w:r>
      <w:r>
        <w:t>create a</w:t>
      </w:r>
      <w:r>
        <w:rPr>
          <w:spacing w:val="1"/>
        </w:rPr>
        <w:t xml:space="preserve"> </w:t>
      </w:r>
      <w:r>
        <w:t>program</w:t>
      </w:r>
      <w:r>
        <w:rPr>
          <w:spacing w:val="-4"/>
        </w:rPr>
        <w:t xml:space="preserve"> </w:t>
      </w:r>
      <w:r>
        <w:t>that</w:t>
      </w:r>
      <w:r>
        <w:rPr>
          <w:spacing w:val="-3"/>
        </w:rPr>
        <w:t xml:space="preserve"> </w:t>
      </w:r>
      <w:r>
        <w:t>would</w:t>
      </w:r>
      <w:r>
        <w:rPr>
          <w:spacing w:val="-52"/>
        </w:rPr>
        <w:t xml:space="preserve"> </w:t>
      </w:r>
      <w:r>
        <w:t>encourage public entities to be more open and transparent. Previously, while serving as Ohio Senate</w:t>
      </w:r>
      <w:r>
        <w:rPr>
          <w:spacing w:val="1"/>
        </w:rPr>
        <w:t xml:space="preserve"> </w:t>
      </w:r>
      <w:r>
        <w:t>President, Auditor Faber worked with the Court of Claims to establish an independent and affordable</w:t>
      </w:r>
      <w:r>
        <w:rPr>
          <w:spacing w:val="-52"/>
        </w:rPr>
        <w:t xml:space="preserve"> </w:t>
      </w:r>
      <w:r>
        <w:t>process</w:t>
      </w:r>
      <w:r>
        <w:rPr>
          <w:spacing w:val="-3"/>
        </w:rPr>
        <w:t xml:space="preserve"> </w:t>
      </w:r>
      <w:r>
        <w:t>for</w:t>
      </w:r>
      <w:r>
        <w:rPr>
          <w:spacing w:val="1"/>
        </w:rPr>
        <w:t xml:space="preserve"> </w:t>
      </w:r>
      <w:r>
        <w:t>citizens to</w:t>
      </w:r>
      <w:r>
        <w:rPr>
          <w:spacing w:val="-1"/>
        </w:rPr>
        <w:t xml:space="preserve"> </w:t>
      </w:r>
      <w:r>
        <w:t>have</w:t>
      </w:r>
      <w:r>
        <w:rPr>
          <w:spacing w:val="2"/>
        </w:rPr>
        <w:t xml:space="preserve"> </w:t>
      </w:r>
      <w:r>
        <w:t>their</w:t>
      </w:r>
      <w:r>
        <w:rPr>
          <w:spacing w:val="1"/>
        </w:rPr>
        <w:t xml:space="preserve"> </w:t>
      </w:r>
      <w:r>
        <w:t>public-records</w:t>
      </w:r>
      <w:r>
        <w:rPr>
          <w:spacing w:val="-6"/>
        </w:rPr>
        <w:t xml:space="preserve"> </w:t>
      </w:r>
      <w:r>
        <w:t>complaints</w:t>
      </w:r>
      <w:r>
        <w:rPr>
          <w:spacing w:val="-1"/>
        </w:rPr>
        <w:t xml:space="preserve"> </w:t>
      </w:r>
      <w:r>
        <w:t>heard</w:t>
      </w:r>
      <w:r>
        <w:rPr>
          <w:spacing w:val="-6"/>
        </w:rPr>
        <w:t xml:space="preserve"> </w:t>
      </w:r>
      <w:r>
        <w:t>and determined.</w:t>
      </w:r>
    </w:p>
    <w:p w14:paraId="29128806" w14:textId="77777777" w:rsidR="00267523" w:rsidRDefault="00267523" w:rsidP="00267523">
      <w:pPr>
        <w:pStyle w:val="TableParagraph"/>
        <w:spacing w:before="119"/>
        <w:ind w:left="0" w:right="33"/>
      </w:pPr>
      <w:r>
        <w:t>To build upon the success achieved with the public-records mediation program and further promote</w:t>
      </w:r>
      <w:r>
        <w:rPr>
          <w:spacing w:val="1"/>
        </w:rPr>
        <w:t xml:space="preserve"> </w:t>
      </w:r>
      <w:r>
        <w:t>more open and transparent government operations, the “StaRS” public records system was launched in</w:t>
      </w:r>
      <w:r>
        <w:rPr>
          <w:spacing w:val="1"/>
        </w:rPr>
        <w:t xml:space="preserve"> </w:t>
      </w:r>
      <w:r>
        <w:t>November 2019. The stars ratings were created to acknowledge the accomplishments of those that were</w:t>
      </w:r>
      <w:r>
        <w:rPr>
          <w:spacing w:val="-52"/>
        </w:rPr>
        <w:t xml:space="preserve"> </w:t>
      </w:r>
      <w:r>
        <w:t>meeting</w:t>
      </w:r>
      <w:r>
        <w:rPr>
          <w:spacing w:val="-1"/>
        </w:rPr>
        <w:t xml:space="preserve"> </w:t>
      </w:r>
      <w:r>
        <w:t>Ohio’s</w:t>
      </w:r>
      <w:r>
        <w:rPr>
          <w:spacing w:val="-2"/>
        </w:rPr>
        <w:t xml:space="preserve"> </w:t>
      </w:r>
      <w:r>
        <w:t>public-records</w:t>
      </w:r>
      <w:r>
        <w:rPr>
          <w:spacing w:val="-7"/>
        </w:rPr>
        <w:t xml:space="preserve"> </w:t>
      </w:r>
      <w:r>
        <w:t>and</w:t>
      </w:r>
      <w:r>
        <w:rPr>
          <w:spacing w:val="-1"/>
        </w:rPr>
        <w:t xml:space="preserve"> </w:t>
      </w:r>
      <w:r>
        <w:t>open-meetings</w:t>
      </w:r>
      <w:r>
        <w:rPr>
          <w:spacing w:val="-1"/>
        </w:rPr>
        <w:t xml:space="preserve"> </w:t>
      </w:r>
      <w:r>
        <w:t>laws,</w:t>
      </w:r>
      <w:r>
        <w:rPr>
          <w:spacing w:val="-7"/>
        </w:rPr>
        <w:t xml:space="preserve"> </w:t>
      </w:r>
      <w:r>
        <w:t>and also</w:t>
      </w:r>
      <w:r>
        <w:rPr>
          <w:spacing w:val="-1"/>
        </w:rPr>
        <w:t xml:space="preserve"> </w:t>
      </w:r>
      <w:r>
        <w:t>to</w:t>
      </w:r>
      <w:r>
        <w:rPr>
          <w:spacing w:val="-1"/>
        </w:rPr>
        <w:t xml:space="preserve"> </w:t>
      </w:r>
      <w:r>
        <w:t>recognize</w:t>
      </w:r>
      <w:r>
        <w:rPr>
          <w:spacing w:val="1"/>
        </w:rPr>
        <w:t xml:space="preserve"> </w:t>
      </w:r>
      <w:r>
        <w:t>those public</w:t>
      </w:r>
      <w:r>
        <w:rPr>
          <w:spacing w:val="1"/>
        </w:rPr>
        <w:t xml:space="preserve"> </w:t>
      </w:r>
      <w:r>
        <w:t>bodies</w:t>
      </w:r>
      <w:r>
        <w:rPr>
          <w:spacing w:val="-1"/>
        </w:rPr>
        <w:t xml:space="preserve"> </w:t>
      </w:r>
      <w:r>
        <w:t>that</w:t>
      </w:r>
    </w:p>
    <w:p w14:paraId="2ADF4478" w14:textId="77777777" w:rsidR="00267523" w:rsidRDefault="00267523" w:rsidP="00267523">
      <w:pPr>
        <w:pStyle w:val="TableParagraph"/>
        <w:spacing w:line="242" w:lineRule="auto"/>
        <w:ind w:left="0" w:right="454"/>
      </w:pPr>
      <w:r>
        <w:t>were exceeding</w:t>
      </w:r>
      <w:r>
        <w:rPr>
          <w:spacing w:val="-2"/>
        </w:rPr>
        <w:t xml:space="preserve"> </w:t>
      </w:r>
      <w:r>
        <w:t>those</w:t>
      </w:r>
      <w:r>
        <w:rPr>
          <w:spacing w:val="-1"/>
        </w:rPr>
        <w:t xml:space="preserve"> </w:t>
      </w:r>
      <w:r>
        <w:t>legal</w:t>
      </w:r>
      <w:r>
        <w:rPr>
          <w:spacing w:val="-3"/>
        </w:rPr>
        <w:t xml:space="preserve"> </w:t>
      </w:r>
      <w:r>
        <w:t>standards</w:t>
      </w:r>
      <w:r>
        <w:rPr>
          <w:spacing w:val="-2"/>
        </w:rPr>
        <w:t xml:space="preserve"> </w:t>
      </w:r>
      <w:r>
        <w:t>by</w:t>
      </w:r>
      <w:r>
        <w:rPr>
          <w:spacing w:val="-2"/>
        </w:rPr>
        <w:t xml:space="preserve"> </w:t>
      </w:r>
      <w:r>
        <w:t>implementing</w:t>
      </w:r>
      <w:r>
        <w:rPr>
          <w:spacing w:val="-2"/>
        </w:rPr>
        <w:t xml:space="preserve"> </w:t>
      </w:r>
      <w:r>
        <w:t>a</w:t>
      </w:r>
      <w:r>
        <w:rPr>
          <w:spacing w:val="-4"/>
        </w:rPr>
        <w:t xml:space="preserve"> </w:t>
      </w:r>
      <w:r>
        <w:t>number</w:t>
      </w:r>
      <w:r>
        <w:rPr>
          <w:spacing w:val="-1"/>
        </w:rPr>
        <w:t xml:space="preserve"> </w:t>
      </w:r>
      <w:r>
        <w:t>of</w:t>
      </w:r>
      <w:r>
        <w:rPr>
          <w:spacing w:val="-1"/>
        </w:rPr>
        <w:t xml:space="preserve"> </w:t>
      </w:r>
      <w:r>
        <w:t>identified</w:t>
      </w:r>
      <w:r>
        <w:rPr>
          <w:spacing w:val="-2"/>
        </w:rPr>
        <w:t xml:space="preserve"> </w:t>
      </w:r>
      <w:r>
        <w:t>best</w:t>
      </w:r>
      <w:r>
        <w:rPr>
          <w:spacing w:val="-3"/>
        </w:rPr>
        <w:t xml:space="preserve"> </w:t>
      </w:r>
      <w:r>
        <w:t>practices.</w:t>
      </w:r>
    </w:p>
    <w:p w14:paraId="4DF486AA" w14:textId="52526E15" w:rsidR="008E6225" w:rsidRDefault="008E6225" w:rsidP="00CC239B">
      <w:pPr>
        <w:pStyle w:val="TableParagraph"/>
        <w:spacing w:before="120" w:line="242" w:lineRule="auto"/>
        <w:ind w:left="0" w:right="461"/>
      </w:pPr>
      <w:r>
        <w:t>While the State Auditor has always audited public-records compliance, this additional</w:t>
      </w:r>
      <w:r>
        <w:rPr>
          <w:spacing w:val="1"/>
        </w:rPr>
        <w:t xml:space="preserve"> </w:t>
      </w:r>
      <w:r>
        <w:t>acknowledgement of the efforts being made to serve the public and provides incentive to do more,</w:t>
      </w:r>
      <w:r>
        <w:rPr>
          <w:spacing w:val="-52"/>
        </w:rPr>
        <w:t xml:space="preserve"> </w:t>
      </w:r>
      <w:r>
        <w:t>when</w:t>
      </w:r>
      <w:r>
        <w:rPr>
          <w:spacing w:val="-1"/>
        </w:rPr>
        <w:t xml:space="preserve"> </w:t>
      </w:r>
      <w:r>
        <w:t>possible, in making records more</w:t>
      </w:r>
      <w:r>
        <w:rPr>
          <w:spacing w:val="-3"/>
        </w:rPr>
        <w:t xml:space="preserve"> </w:t>
      </w:r>
      <w:r>
        <w:t>accessible.</w:t>
      </w:r>
    </w:p>
    <w:p w14:paraId="5DA943A0" w14:textId="72DFFDC0" w:rsidR="008E6225" w:rsidRDefault="008E6225" w:rsidP="00267523">
      <w:pPr>
        <w:widowControl/>
        <w:adjustRightInd w:val="0"/>
        <w:spacing w:before="180"/>
        <w:ind w:right="-720"/>
        <w:rPr>
          <w:rFonts w:ascii="Century Gothic" w:eastAsiaTheme="minorHAnsi" w:hAnsi="Century Gothic" w:cs="Century Gothic"/>
          <w:b/>
          <w:bCs/>
          <w:kern w:val="1"/>
          <w:sz w:val="28"/>
          <w:szCs w:val="28"/>
        </w:rPr>
      </w:pPr>
      <w:r>
        <w:rPr>
          <w:noProof/>
          <w:sz w:val="23"/>
        </w:rPr>
        <w:lastRenderedPageBreak/>
        <w:drawing>
          <wp:anchor distT="0" distB="0" distL="114300" distR="114300" simplePos="0" relativeHeight="251658240" behindDoc="0" locked="0" layoutInCell="1" allowOverlap="1" wp14:anchorId="7409F24D" wp14:editId="3F8493BC">
            <wp:simplePos x="0" y="0"/>
            <wp:positionH relativeFrom="column">
              <wp:posOffset>4139565</wp:posOffset>
            </wp:positionH>
            <wp:positionV relativeFrom="paragraph">
              <wp:posOffset>88900</wp:posOffset>
            </wp:positionV>
            <wp:extent cx="2217420" cy="24250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s rating 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0" cy="242506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heme="minorHAnsi" w:hAnsi="Century Gothic" w:cs="Century Gothic"/>
          <w:b/>
          <w:bCs/>
          <w:sz w:val="28"/>
          <w:szCs w:val="28"/>
        </w:rPr>
        <w:t>Making the</w:t>
      </w:r>
      <w:r>
        <w:rPr>
          <w:rFonts w:ascii="Century Gothic" w:eastAsiaTheme="minorHAnsi" w:hAnsi="Century Gothic" w:cs="Century Gothic"/>
          <w:b/>
          <w:bCs/>
          <w:spacing w:val="-4"/>
          <w:kern w:val="1"/>
          <w:sz w:val="28"/>
          <w:szCs w:val="28"/>
        </w:rPr>
        <w:t xml:space="preserve"> </w:t>
      </w:r>
      <w:r>
        <w:rPr>
          <w:rFonts w:ascii="Century Gothic" w:eastAsiaTheme="minorHAnsi" w:hAnsi="Century Gothic" w:cs="Century Gothic"/>
          <w:b/>
          <w:bCs/>
          <w:kern w:val="1"/>
          <w:sz w:val="28"/>
          <w:szCs w:val="28"/>
        </w:rPr>
        <w:t>Grade</w:t>
      </w:r>
    </w:p>
    <w:p w14:paraId="41942F3C" w14:textId="283E2361" w:rsidR="008E6225" w:rsidRDefault="008E6225" w:rsidP="00CC239B">
      <w:pPr>
        <w:widowControl/>
        <w:adjustRightInd w:val="0"/>
        <w:spacing w:before="118"/>
        <w:ind w:right="-512"/>
        <w:rPr>
          <w:rFonts w:eastAsiaTheme="minorHAnsi"/>
          <w:kern w:val="1"/>
        </w:rPr>
      </w:pPr>
      <w:r>
        <w:rPr>
          <w:rFonts w:eastAsiaTheme="minorHAnsi"/>
          <w:kern w:val="1"/>
        </w:rPr>
        <w:t>A single star is awarded to a public body that meets the necessary</w:t>
      </w:r>
      <w:r>
        <w:rPr>
          <w:rFonts w:eastAsiaTheme="minorHAnsi"/>
          <w:spacing w:val="1"/>
          <w:kern w:val="1"/>
        </w:rPr>
        <w:t xml:space="preserve"> </w:t>
      </w:r>
      <w:r>
        <w:rPr>
          <w:rFonts w:eastAsiaTheme="minorHAnsi"/>
          <w:kern w:val="1"/>
        </w:rPr>
        <w:t>public records demands of Ohio’s Sunshine Laws. These entities are</w:t>
      </w:r>
      <w:r>
        <w:rPr>
          <w:rFonts w:eastAsiaTheme="minorHAnsi"/>
          <w:spacing w:val="1"/>
          <w:kern w:val="1"/>
        </w:rPr>
        <w:t xml:space="preserve"> </w:t>
      </w:r>
      <w:r>
        <w:rPr>
          <w:rFonts w:eastAsiaTheme="minorHAnsi"/>
          <w:kern w:val="1"/>
        </w:rPr>
        <w:t>considered</w:t>
      </w:r>
      <w:r>
        <w:rPr>
          <w:rFonts w:eastAsiaTheme="minorHAnsi"/>
          <w:spacing w:val="3"/>
          <w:kern w:val="1"/>
        </w:rPr>
        <w:t xml:space="preserve"> </w:t>
      </w:r>
      <w:r>
        <w:rPr>
          <w:rFonts w:eastAsiaTheme="minorHAnsi"/>
          <w:kern w:val="1"/>
        </w:rPr>
        <w:t>to</w:t>
      </w:r>
      <w:r>
        <w:rPr>
          <w:rFonts w:eastAsiaTheme="minorHAnsi"/>
          <w:spacing w:val="4"/>
          <w:kern w:val="1"/>
        </w:rPr>
        <w:t xml:space="preserve"> </w:t>
      </w:r>
      <w:r>
        <w:rPr>
          <w:rFonts w:eastAsiaTheme="minorHAnsi"/>
          <w:kern w:val="1"/>
        </w:rPr>
        <w:t>be</w:t>
      </w:r>
      <w:r>
        <w:rPr>
          <w:rFonts w:eastAsiaTheme="minorHAnsi"/>
          <w:spacing w:val="6"/>
          <w:kern w:val="1"/>
        </w:rPr>
        <w:t xml:space="preserve"> </w:t>
      </w:r>
      <w:r>
        <w:rPr>
          <w:rFonts w:eastAsiaTheme="minorHAnsi"/>
          <w:kern w:val="1"/>
        </w:rPr>
        <w:t>conducting</w:t>
      </w:r>
      <w:r>
        <w:rPr>
          <w:rFonts w:eastAsiaTheme="minorHAnsi"/>
          <w:spacing w:val="4"/>
          <w:kern w:val="1"/>
        </w:rPr>
        <w:t xml:space="preserve"> </w:t>
      </w:r>
      <w:r>
        <w:rPr>
          <w:rFonts w:eastAsiaTheme="minorHAnsi"/>
          <w:kern w:val="1"/>
        </w:rPr>
        <w:t>public</w:t>
      </w:r>
      <w:r>
        <w:rPr>
          <w:rFonts w:eastAsiaTheme="minorHAnsi"/>
          <w:spacing w:val="5"/>
          <w:kern w:val="1"/>
        </w:rPr>
        <w:t xml:space="preserve"> </w:t>
      </w:r>
      <w:r>
        <w:rPr>
          <w:rFonts w:eastAsiaTheme="minorHAnsi"/>
          <w:kern w:val="1"/>
        </w:rPr>
        <w:t>business</w:t>
      </w:r>
      <w:r>
        <w:rPr>
          <w:rFonts w:eastAsiaTheme="minorHAnsi"/>
          <w:spacing w:val="2"/>
          <w:kern w:val="1"/>
        </w:rPr>
        <w:t xml:space="preserve"> </w:t>
      </w:r>
      <w:r>
        <w:rPr>
          <w:rFonts w:eastAsiaTheme="minorHAnsi"/>
          <w:kern w:val="1"/>
        </w:rPr>
        <w:t>in</w:t>
      </w:r>
      <w:r>
        <w:rPr>
          <w:rFonts w:eastAsiaTheme="minorHAnsi"/>
          <w:spacing w:val="4"/>
          <w:kern w:val="1"/>
        </w:rPr>
        <w:t xml:space="preserve"> </w:t>
      </w:r>
      <w:r>
        <w:rPr>
          <w:rFonts w:eastAsiaTheme="minorHAnsi"/>
          <w:kern w:val="1"/>
        </w:rPr>
        <w:t>an</w:t>
      </w:r>
      <w:r>
        <w:rPr>
          <w:rFonts w:eastAsiaTheme="minorHAnsi"/>
          <w:spacing w:val="4"/>
          <w:kern w:val="1"/>
        </w:rPr>
        <w:t xml:space="preserve"> </w:t>
      </w:r>
      <w:r>
        <w:rPr>
          <w:rFonts w:eastAsiaTheme="minorHAnsi"/>
          <w:kern w:val="1"/>
        </w:rPr>
        <w:t>open</w:t>
      </w:r>
      <w:r>
        <w:rPr>
          <w:rFonts w:eastAsiaTheme="minorHAnsi"/>
          <w:spacing w:val="3"/>
          <w:kern w:val="1"/>
        </w:rPr>
        <w:t xml:space="preserve"> </w:t>
      </w:r>
      <w:r>
        <w:rPr>
          <w:rFonts w:eastAsiaTheme="minorHAnsi"/>
          <w:kern w:val="1"/>
        </w:rPr>
        <w:t>and</w:t>
      </w:r>
      <w:r>
        <w:rPr>
          <w:rFonts w:eastAsiaTheme="minorHAnsi"/>
          <w:spacing w:val="1"/>
          <w:kern w:val="1"/>
        </w:rPr>
        <w:t xml:space="preserve"> </w:t>
      </w:r>
      <w:r>
        <w:rPr>
          <w:rFonts w:eastAsiaTheme="minorHAnsi"/>
          <w:kern w:val="1"/>
        </w:rPr>
        <w:t>transparent manner. Additional stars are awarded for the</w:t>
      </w:r>
      <w:r>
        <w:rPr>
          <w:rFonts w:eastAsiaTheme="minorHAnsi"/>
          <w:spacing w:val="1"/>
          <w:kern w:val="1"/>
        </w:rPr>
        <w:t xml:space="preserve"> </w:t>
      </w:r>
      <w:r>
        <w:rPr>
          <w:rFonts w:eastAsiaTheme="minorHAnsi"/>
          <w:kern w:val="1"/>
        </w:rPr>
        <w:t>implementation of best practices that help ensure that records are more</w:t>
      </w:r>
      <w:r>
        <w:rPr>
          <w:rFonts w:eastAsiaTheme="minorHAnsi"/>
          <w:spacing w:val="-52"/>
          <w:kern w:val="1"/>
        </w:rPr>
        <w:t xml:space="preserve"> </w:t>
      </w:r>
      <w:r>
        <w:rPr>
          <w:rFonts w:eastAsiaTheme="minorHAnsi"/>
          <w:kern w:val="1"/>
        </w:rPr>
        <w:t>easily accessible to the public, with a four-star rating indicating a</w:t>
      </w:r>
      <w:r>
        <w:rPr>
          <w:rFonts w:eastAsiaTheme="minorHAnsi"/>
          <w:spacing w:val="1"/>
          <w:kern w:val="1"/>
        </w:rPr>
        <w:t xml:space="preserve"> </w:t>
      </w:r>
      <w:r>
        <w:rPr>
          <w:rFonts w:eastAsiaTheme="minorHAnsi"/>
          <w:kern w:val="1"/>
        </w:rPr>
        <w:t>public body has implemented a number of additional efforts and</w:t>
      </w:r>
      <w:r>
        <w:rPr>
          <w:rFonts w:eastAsiaTheme="minorHAnsi"/>
          <w:spacing w:val="1"/>
          <w:kern w:val="1"/>
        </w:rPr>
        <w:t xml:space="preserve"> </w:t>
      </w:r>
      <w:r>
        <w:rPr>
          <w:rFonts w:eastAsiaTheme="minorHAnsi"/>
          <w:kern w:val="1"/>
        </w:rPr>
        <w:t>policies.</w:t>
      </w:r>
    </w:p>
    <w:p w14:paraId="6CE4F007" w14:textId="636DF915" w:rsidR="008E6225" w:rsidRDefault="008E6225" w:rsidP="00CC239B">
      <w:pPr>
        <w:pStyle w:val="TableParagraph"/>
        <w:spacing w:before="120" w:line="242" w:lineRule="auto"/>
        <w:ind w:left="0" w:right="461"/>
      </w:pPr>
      <w:r>
        <w:rPr>
          <w:rFonts w:eastAsiaTheme="minorHAnsi"/>
          <w:kern w:val="1"/>
        </w:rPr>
        <w:t>It’s important to note that receiving even a single star is an</w:t>
      </w:r>
      <w:r>
        <w:rPr>
          <w:rFonts w:eastAsiaTheme="minorHAnsi"/>
          <w:spacing w:val="1"/>
          <w:kern w:val="1"/>
        </w:rPr>
        <w:t xml:space="preserve"> </w:t>
      </w:r>
      <w:r>
        <w:rPr>
          <w:rFonts w:eastAsiaTheme="minorHAnsi"/>
          <w:kern w:val="1"/>
        </w:rPr>
        <w:t>accomplishment in maintaining public records in a standard that meets</w:t>
      </w:r>
      <w:r>
        <w:rPr>
          <w:rFonts w:eastAsiaTheme="minorHAnsi"/>
          <w:spacing w:val="-52"/>
          <w:kern w:val="1"/>
        </w:rPr>
        <w:t xml:space="preserve"> </w:t>
      </w:r>
      <w:r>
        <w:rPr>
          <w:rFonts w:eastAsiaTheme="minorHAnsi"/>
          <w:kern w:val="1"/>
        </w:rPr>
        <w:t>Ohio law. Ratings of two, three, or four stars are given when an entity</w:t>
      </w:r>
      <w:r>
        <w:rPr>
          <w:rFonts w:eastAsiaTheme="minorHAnsi"/>
          <w:spacing w:val="1"/>
          <w:kern w:val="1"/>
        </w:rPr>
        <w:t xml:space="preserve"> </w:t>
      </w:r>
      <w:r>
        <w:rPr>
          <w:rFonts w:eastAsiaTheme="minorHAnsi"/>
          <w:kern w:val="1"/>
        </w:rPr>
        <w:t>exceeds those standards by implementing best practices suggested by</w:t>
      </w:r>
      <w:r>
        <w:rPr>
          <w:rFonts w:eastAsiaTheme="minorHAnsi"/>
          <w:spacing w:val="1"/>
          <w:kern w:val="1"/>
        </w:rPr>
        <w:t xml:space="preserve"> </w:t>
      </w:r>
      <w:r>
        <w:rPr>
          <w:rFonts w:eastAsiaTheme="minorHAnsi"/>
          <w:kern w:val="1"/>
        </w:rPr>
        <w:t>the State Auditor’s Office. Many smaller entities may not have the</w:t>
      </w:r>
      <w:r>
        <w:rPr>
          <w:rFonts w:eastAsiaTheme="minorHAnsi"/>
          <w:spacing w:val="1"/>
          <w:kern w:val="1"/>
        </w:rPr>
        <w:t xml:space="preserve"> </w:t>
      </w:r>
      <w:r>
        <w:rPr>
          <w:rFonts w:eastAsiaTheme="minorHAnsi"/>
          <w:kern w:val="1"/>
        </w:rPr>
        <w:t>staff or technological capabilities to introduce these best practices, but</w:t>
      </w:r>
      <w:r>
        <w:rPr>
          <w:rFonts w:eastAsiaTheme="minorHAnsi"/>
          <w:spacing w:val="-52"/>
          <w:kern w:val="1"/>
        </w:rPr>
        <w:t xml:space="preserve"> </w:t>
      </w:r>
      <w:r>
        <w:rPr>
          <w:rFonts w:eastAsiaTheme="minorHAnsi"/>
          <w:kern w:val="1"/>
        </w:rPr>
        <w:t>that should not diminish their efforts in serving their citizens in an</w:t>
      </w:r>
      <w:r>
        <w:rPr>
          <w:rFonts w:eastAsiaTheme="minorHAnsi"/>
          <w:spacing w:val="1"/>
          <w:kern w:val="1"/>
        </w:rPr>
        <w:t xml:space="preserve"> </w:t>
      </w:r>
      <w:r>
        <w:rPr>
          <w:rFonts w:eastAsiaTheme="minorHAnsi"/>
          <w:kern w:val="1"/>
        </w:rPr>
        <w:t>open</w:t>
      </w:r>
      <w:r>
        <w:rPr>
          <w:rFonts w:eastAsiaTheme="minorHAnsi"/>
          <w:spacing w:val="-1"/>
          <w:kern w:val="1"/>
        </w:rPr>
        <w:t xml:space="preserve"> </w:t>
      </w:r>
      <w:r>
        <w:rPr>
          <w:rFonts w:eastAsiaTheme="minorHAnsi"/>
          <w:kern w:val="1"/>
        </w:rPr>
        <w:t>and transparent</w:t>
      </w:r>
      <w:r>
        <w:rPr>
          <w:rFonts w:eastAsiaTheme="minorHAnsi"/>
          <w:spacing w:val="-2"/>
          <w:kern w:val="1"/>
        </w:rPr>
        <w:t xml:space="preserve"> </w:t>
      </w:r>
      <w:r>
        <w:rPr>
          <w:rFonts w:eastAsiaTheme="minorHAnsi"/>
          <w:kern w:val="1"/>
        </w:rPr>
        <w:t>manner.</w:t>
      </w:r>
    </w:p>
    <w:p w14:paraId="47DE6190" w14:textId="79AA7AAF" w:rsidR="008E6225" w:rsidRDefault="008E6225" w:rsidP="008E6225">
      <w:pPr>
        <w:pStyle w:val="TableParagraph"/>
        <w:spacing w:before="182"/>
        <w:ind w:left="0"/>
        <w:rPr>
          <w:rFonts w:ascii="Century Gothic"/>
          <w:b/>
          <w:sz w:val="28"/>
        </w:rPr>
      </w:pPr>
      <w:r>
        <w:rPr>
          <w:rFonts w:ascii="Century Gothic"/>
          <w:b/>
          <w:sz w:val="28"/>
        </w:rPr>
        <w:t>Compliance</w:t>
      </w:r>
      <w:r>
        <w:rPr>
          <w:rFonts w:ascii="Century Gothic"/>
          <w:b/>
          <w:spacing w:val="-5"/>
          <w:sz w:val="28"/>
        </w:rPr>
        <w:t xml:space="preserve"> </w:t>
      </w:r>
      <w:r>
        <w:rPr>
          <w:rFonts w:ascii="Century Gothic"/>
          <w:b/>
          <w:sz w:val="28"/>
        </w:rPr>
        <w:t>and</w:t>
      </w:r>
      <w:r>
        <w:rPr>
          <w:rFonts w:ascii="Century Gothic"/>
          <w:b/>
          <w:spacing w:val="-5"/>
          <w:sz w:val="28"/>
        </w:rPr>
        <w:t xml:space="preserve"> </w:t>
      </w:r>
      <w:r>
        <w:rPr>
          <w:rFonts w:ascii="Century Gothic"/>
          <w:b/>
          <w:sz w:val="28"/>
        </w:rPr>
        <w:t>Achievement</w:t>
      </w:r>
    </w:p>
    <w:p w14:paraId="3951BAE3" w14:textId="23FA10E7" w:rsidR="008E6225" w:rsidRDefault="00021A4B" w:rsidP="00267523">
      <w:pPr>
        <w:pStyle w:val="TableParagraph"/>
        <w:spacing w:before="113"/>
        <w:ind w:left="0" w:right="68"/>
      </w:pPr>
      <w:r>
        <w:rPr>
          <w:noProof/>
        </w:rPr>
        <mc:AlternateContent>
          <mc:Choice Requires="wps">
            <w:drawing>
              <wp:anchor distT="0" distB="0" distL="114300" distR="114300" simplePos="0" relativeHeight="15727615" behindDoc="0" locked="0" layoutInCell="1" allowOverlap="1" wp14:anchorId="741F6DFE" wp14:editId="58BE88F2">
                <wp:simplePos x="0" y="0"/>
                <wp:positionH relativeFrom="column">
                  <wp:posOffset>40640</wp:posOffset>
                </wp:positionH>
                <wp:positionV relativeFrom="paragraph">
                  <wp:posOffset>505460</wp:posOffset>
                </wp:positionV>
                <wp:extent cx="3951605" cy="4166235"/>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3951605" cy="4166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454D4" id="Rectangle 5" o:spid="_x0000_s1026" style="position:absolute;margin-left:3.2pt;margin-top:39.8pt;width:311.15pt;height:328.05pt;z-index:15727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" filled="f" stroked="f" strokeweight="2pt">
                <w10:wrap type="square"/>
              </v:rect>
            </w:pict>
          </mc:Fallback>
        </mc:AlternateContent>
      </w:r>
      <w:r>
        <w:rPr>
          <w:noProof/>
        </w:rPr>
        <w:drawing>
          <wp:anchor distT="0" distB="0" distL="114300" distR="114300" simplePos="0" relativeHeight="251661312" behindDoc="0" locked="0" layoutInCell="1" allowOverlap="1" wp14:anchorId="604DAEEC" wp14:editId="60341415">
            <wp:simplePos x="0" y="0"/>
            <wp:positionH relativeFrom="column">
              <wp:posOffset>-93980</wp:posOffset>
            </wp:positionH>
            <wp:positionV relativeFrom="paragraph">
              <wp:posOffset>558901</wp:posOffset>
            </wp:positionV>
            <wp:extent cx="3983603" cy="412651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 graphic 2022.png"/>
                    <pic:cNvPicPr/>
                  </pic:nvPicPr>
                  <pic:blipFill rotWithShape="1">
                    <a:blip r:embed="rId8" cstate="print">
                      <a:alphaModFix/>
                      <a:extLst>
                        <a:ext uri="{28A0092B-C50C-407E-A947-70E740481C1C}">
                          <a14:useLocalDpi xmlns:a14="http://schemas.microsoft.com/office/drawing/2010/main" val="0"/>
                        </a:ext>
                      </a:extLst>
                    </a:blip>
                    <a:srcRect l="583" t="44276" r="-583" b="-1394"/>
                    <a:stretch/>
                  </pic:blipFill>
                  <pic:spPr bwMode="auto">
                    <a:xfrm>
                      <a:off x="0" y="0"/>
                      <a:ext cx="3985333" cy="4128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75FE" w:rsidRPr="00267523">
        <w:rPr>
          <w:noProof/>
        </w:rPr>
        <w:t>Since</w:t>
      </w:r>
      <w:r w:rsidR="008E6225" w:rsidRPr="00267523">
        <w:t xml:space="preserve"> </w:t>
      </w:r>
      <w:r w:rsidR="008E6225">
        <w:t>the StaRS rating system</w:t>
      </w:r>
      <w:r w:rsidR="00EE75FE">
        <w:t xml:space="preserve"> began</w:t>
      </w:r>
      <w:r w:rsidR="008E6225">
        <w:t xml:space="preserve">, </w:t>
      </w:r>
      <w:r w:rsidR="008A3D2B">
        <w:t>3,573</w:t>
      </w:r>
      <w:r w:rsidR="008E6225">
        <w:t xml:space="preserve"> entities have been audited for public records</w:t>
      </w:r>
      <w:r w:rsidR="008E6225">
        <w:rPr>
          <w:spacing w:val="1"/>
        </w:rPr>
        <w:t xml:space="preserve"> </w:t>
      </w:r>
      <w:r w:rsidR="008E6225">
        <w:t xml:space="preserve">compliance. More meeting Ohio’s public record laws. This includes </w:t>
      </w:r>
      <w:r w:rsidR="008A3D2B">
        <w:t>508</w:t>
      </w:r>
      <w:r w:rsidR="00EE75FE">
        <w:t xml:space="preserve"> </w:t>
      </w:r>
      <w:r w:rsidR="008E6225">
        <w:t>local governments, schools</w:t>
      </w:r>
      <w:r w:rsidR="00EE75FE">
        <w:t>, f</w:t>
      </w:r>
      <w:r w:rsidR="008E6225">
        <w:t>irst-responder agencies, and other public bodies that have achieved a four-star rating – the highest</w:t>
      </w:r>
      <w:r w:rsidR="008E6225">
        <w:rPr>
          <w:spacing w:val="1"/>
        </w:rPr>
        <w:t xml:space="preserve"> </w:t>
      </w:r>
      <w:r w:rsidR="008E6225">
        <w:t>honor. Entities should continue to work toward implementing best practices whenever possible and</w:t>
      </w:r>
      <w:r w:rsidR="008E6225">
        <w:rPr>
          <w:spacing w:val="1"/>
        </w:rPr>
        <w:t xml:space="preserve"> </w:t>
      </w:r>
      <w:r w:rsidR="008E6225">
        <w:t>these</w:t>
      </w:r>
      <w:r w:rsidR="008E6225">
        <w:rPr>
          <w:spacing w:val="-1"/>
        </w:rPr>
        <w:t xml:space="preserve"> </w:t>
      </w:r>
      <w:r w:rsidR="008E6225">
        <w:t>numbers</w:t>
      </w:r>
      <w:r w:rsidR="008E6225">
        <w:rPr>
          <w:spacing w:val="-1"/>
        </w:rPr>
        <w:t xml:space="preserve"> </w:t>
      </w:r>
      <w:r w:rsidR="008E6225">
        <w:t>will</w:t>
      </w:r>
      <w:r w:rsidR="008E6225">
        <w:rPr>
          <w:spacing w:val="-3"/>
        </w:rPr>
        <w:t xml:space="preserve"> </w:t>
      </w:r>
      <w:r w:rsidR="008E6225">
        <w:t>most</w:t>
      </w:r>
      <w:r w:rsidR="008E6225">
        <w:rPr>
          <w:spacing w:val="-3"/>
        </w:rPr>
        <w:t xml:space="preserve"> </w:t>
      </w:r>
      <w:r w:rsidR="008E6225">
        <w:t>certainly</w:t>
      </w:r>
      <w:r w:rsidR="008E6225">
        <w:rPr>
          <w:spacing w:val="-1"/>
        </w:rPr>
        <w:t xml:space="preserve"> </w:t>
      </w:r>
      <w:r w:rsidR="008E6225">
        <w:t>grow</w:t>
      </w:r>
      <w:r w:rsidR="008E6225">
        <w:rPr>
          <w:spacing w:val="-1"/>
        </w:rPr>
        <w:t xml:space="preserve"> </w:t>
      </w:r>
      <w:r w:rsidR="008E6225">
        <w:t>as</w:t>
      </w:r>
      <w:r w:rsidR="008E6225">
        <w:rPr>
          <w:spacing w:val="-2"/>
        </w:rPr>
        <w:t xml:space="preserve"> </w:t>
      </w:r>
      <w:r w:rsidR="008E6225">
        <w:t>our</w:t>
      </w:r>
      <w:r w:rsidR="008E6225">
        <w:rPr>
          <w:spacing w:val="-1"/>
        </w:rPr>
        <w:t xml:space="preserve"> </w:t>
      </w:r>
      <w:r w:rsidR="008E6225">
        <w:t>partners</w:t>
      </w:r>
      <w:r w:rsidR="008E6225">
        <w:rPr>
          <w:spacing w:val="-1"/>
        </w:rPr>
        <w:t xml:space="preserve"> </w:t>
      </w:r>
      <w:r w:rsidR="008E6225">
        <w:t>grow</w:t>
      </w:r>
      <w:r w:rsidR="008E6225">
        <w:rPr>
          <w:spacing w:val="-1"/>
        </w:rPr>
        <w:t xml:space="preserve"> </w:t>
      </w:r>
      <w:r w:rsidR="008E6225">
        <w:t>to</w:t>
      </w:r>
      <w:r w:rsidR="008E6225">
        <w:rPr>
          <w:spacing w:val="-1"/>
        </w:rPr>
        <w:t xml:space="preserve"> </w:t>
      </w:r>
      <w:r w:rsidR="008E6225">
        <w:t>be</w:t>
      </w:r>
      <w:r w:rsidR="008E6225">
        <w:rPr>
          <w:spacing w:val="1"/>
        </w:rPr>
        <w:t xml:space="preserve"> </w:t>
      </w:r>
      <w:r w:rsidR="008E6225">
        <w:t>familiar</w:t>
      </w:r>
      <w:r w:rsidR="008E6225">
        <w:rPr>
          <w:spacing w:val="-1"/>
        </w:rPr>
        <w:t xml:space="preserve"> </w:t>
      </w:r>
      <w:r w:rsidR="008E6225">
        <w:t>with</w:t>
      </w:r>
      <w:r w:rsidR="008E6225">
        <w:rPr>
          <w:spacing w:val="-1"/>
        </w:rPr>
        <w:t xml:space="preserve"> </w:t>
      </w:r>
      <w:r w:rsidR="008E6225">
        <w:t>this</w:t>
      </w:r>
      <w:r w:rsidR="008E6225">
        <w:rPr>
          <w:spacing w:val="-1"/>
        </w:rPr>
        <w:t xml:space="preserve"> </w:t>
      </w:r>
      <w:r w:rsidR="008E6225">
        <w:t>new</w:t>
      </w:r>
      <w:r w:rsidR="008E6225">
        <w:rPr>
          <w:spacing w:val="-1"/>
        </w:rPr>
        <w:t xml:space="preserve"> </w:t>
      </w:r>
      <w:r w:rsidR="008E6225">
        <w:t>program.</w:t>
      </w:r>
    </w:p>
    <w:p w14:paraId="0F7B6DAF" w14:textId="2FC0C0D7" w:rsidR="008E6225" w:rsidRDefault="008E6225">
      <w:pPr>
        <w:pStyle w:val="TableParagraph"/>
        <w:spacing w:before="123"/>
        <w:ind w:left="52" w:right="81"/>
      </w:pPr>
      <w:r>
        <w:t>A couple notable achievements were identified in the ability of Ohio’s cities and schools to implement</w:t>
      </w:r>
      <w:r w:rsidR="00EE75FE">
        <w:t xml:space="preserve"> </w:t>
      </w:r>
      <w:r>
        <w:rPr>
          <w:spacing w:val="-52"/>
        </w:rPr>
        <w:t xml:space="preserve"> </w:t>
      </w:r>
      <w:r>
        <w:t xml:space="preserve">best practices. Of the </w:t>
      </w:r>
      <w:r w:rsidR="008A3D2B">
        <w:t>269</w:t>
      </w:r>
      <w:r>
        <w:t xml:space="preserve"> cities AOS provided ratings for, </w:t>
      </w:r>
      <w:r w:rsidR="008A3D2B">
        <w:t>210</w:t>
      </w:r>
      <w:r>
        <w:t xml:space="preserve"> received ratings of two stars or more.</w:t>
      </w:r>
      <w:r>
        <w:rPr>
          <w:spacing w:val="1"/>
        </w:rPr>
        <w:t xml:space="preserve"> </w:t>
      </w:r>
      <w:r>
        <w:t xml:space="preserve">Additionally, Ohio’s public schools had </w:t>
      </w:r>
      <w:r w:rsidR="009F722F">
        <w:t>443</w:t>
      </w:r>
      <w:r>
        <w:t xml:space="preserve"> ratings of two stars or better of the </w:t>
      </w:r>
      <w:r w:rsidR="009F722F">
        <w:t>592</w:t>
      </w:r>
      <w:r>
        <w:t xml:space="preserve"> audits completed.</w:t>
      </w:r>
      <w:r>
        <w:rPr>
          <w:spacing w:val="-52"/>
        </w:rPr>
        <w:t xml:space="preserve"> </w:t>
      </w:r>
      <w:r>
        <w:t>These two entity types seem to excel, for the most part, at meeting both the legal demands of public</w:t>
      </w:r>
      <w:r>
        <w:rPr>
          <w:spacing w:val="1"/>
        </w:rPr>
        <w:t xml:space="preserve"> </w:t>
      </w:r>
      <w:r>
        <w:t>record</w:t>
      </w:r>
      <w:r>
        <w:rPr>
          <w:spacing w:val="-3"/>
        </w:rPr>
        <w:t xml:space="preserve"> </w:t>
      </w:r>
      <w:r>
        <w:t>law</w:t>
      </w:r>
      <w:r>
        <w:rPr>
          <w:spacing w:val="-3"/>
        </w:rPr>
        <w:t xml:space="preserve"> </w:t>
      </w:r>
      <w:r>
        <w:t>while providing</w:t>
      </w:r>
      <w:r>
        <w:rPr>
          <w:spacing w:val="-3"/>
        </w:rPr>
        <w:t xml:space="preserve"> </w:t>
      </w:r>
      <w:r>
        <w:t>additional</w:t>
      </w:r>
      <w:r>
        <w:rPr>
          <w:spacing w:val="-4"/>
        </w:rPr>
        <w:t xml:space="preserve"> </w:t>
      </w:r>
      <w:r>
        <w:t>services</w:t>
      </w:r>
      <w:r>
        <w:rPr>
          <w:spacing w:val="-3"/>
        </w:rPr>
        <w:t xml:space="preserve"> </w:t>
      </w:r>
      <w:r>
        <w:t>for</w:t>
      </w:r>
      <w:r>
        <w:rPr>
          <w:spacing w:val="4"/>
        </w:rPr>
        <w:t xml:space="preserve"> </w:t>
      </w:r>
      <w:r>
        <w:t>the</w:t>
      </w:r>
      <w:r>
        <w:rPr>
          <w:spacing w:val="-1"/>
        </w:rPr>
        <w:t xml:space="preserve"> </w:t>
      </w:r>
      <w:r>
        <w:t>public</w:t>
      </w:r>
      <w:r>
        <w:rPr>
          <w:spacing w:val="-1"/>
        </w:rPr>
        <w:t xml:space="preserve"> </w:t>
      </w:r>
      <w:r>
        <w:t>in</w:t>
      </w:r>
      <w:r>
        <w:rPr>
          <w:spacing w:val="-2"/>
        </w:rPr>
        <w:t xml:space="preserve"> </w:t>
      </w:r>
      <w:r>
        <w:t>their</w:t>
      </w:r>
      <w:r>
        <w:rPr>
          <w:spacing w:val="-2"/>
        </w:rPr>
        <w:t xml:space="preserve"> </w:t>
      </w:r>
      <w:r>
        <w:t>efforts</w:t>
      </w:r>
      <w:r>
        <w:rPr>
          <w:spacing w:val="-2"/>
        </w:rPr>
        <w:t xml:space="preserve"> </w:t>
      </w:r>
      <w:r>
        <w:t>to</w:t>
      </w:r>
      <w:r>
        <w:rPr>
          <w:spacing w:val="-3"/>
        </w:rPr>
        <w:t xml:space="preserve"> </w:t>
      </w:r>
      <w:r>
        <w:t>obtain</w:t>
      </w:r>
      <w:r>
        <w:rPr>
          <w:spacing w:val="-2"/>
        </w:rPr>
        <w:t xml:space="preserve"> </w:t>
      </w:r>
      <w:r>
        <w:t>public</w:t>
      </w:r>
      <w:r>
        <w:rPr>
          <w:spacing w:val="-1"/>
        </w:rPr>
        <w:t xml:space="preserve"> </w:t>
      </w:r>
      <w:r>
        <w:t>records.</w:t>
      </w:r>
    </w:p>
    <w:p w14:paraId="5A6A3D5B" w14:textId="0B38776A" w:rsidR="00EE75FE" w:rsidRDefault="00EE75FE" w:rsidP="00EE75FE">
      <w:pPr>
        <w:pStyle w:val="TableParagraph"/>
        <w:ind w:left="0"/>
        <w:rPr>
          <w:sz w:val="20"/>
        </w:rPr>
      </w:pPr>
    </w:p>
    <w:p w14:paraId="582E6607" w14:textId="71170B6A" w:rsidR="008E6225" w:rsidRDefault="008E6225" w:rsidP="008E6225">
      <w:pPr>
        <w:pStyle w:val="TableParagraph"/>
        <w:spacing w:line="337" w:lineRule="exact"/>
        <w:ind w:left="0"/>
        <w:rPr>
          <w:rFonts w:ascii="Century Gothic"/>
          <w:b/>
          <w:sz w:val="28"/>
        </w:rPr>
      </w:pPr>
      <w:r>
        <w:rPr>
          <w:rFonts w:ascii="Century Gothic"/>
          <w:b/>
          <w:sz w:val="28"/>
        </w:rPr>
        <w:t>Room</w:t>
      </w:r>
      <w:r>
        <w:rPr>
          <w:rFonts w:ascii="Century Gothic"/>
          <w:b/>
          <w:spacing w:val="-2"/>
          <w:sz w:val="28"/>
        </w:rPr>
        <w:t xml:space="preserve"> </w:t>
      </w:r>
      <w:r>
        <w:rPr>
          <w:rFonts w:ascii="Century Gothic"/>
          <w:b/>
          <w:sz w:val="28"/>
        </w:rPr>
        <w:t>to</w:t>
      </w:r>
      <w:r>
        <w:rPr>
          <w:rFonts w:ascii="Century Gothic"/>
          <w:b/>
          <w:spacing w:val="-3"/>
          <w:sz w:val="28"/>
        </w:rPr>
        <w:t xml:space="preserve"> </w:t>
      </w:r>
      <w:r>
        <w:rPr>
          <w:rFonts w:ascii="Century Gothic"/>
          <w:b/>
          <w:sz w:val="28"/>
        </w:rPr>
        <w:t>Improve</w:t>
      </w:r>
    </w:p>
    <w:p w14:paraId="070CEE77" w14:textId="1ED4DBE4" w:rsidR="008E6225" w:rsidRDefault="008E6225" w:rsidP="008E6225">
      <w:pPr>
        <w:pStyle w:val="TableParagraph"/>
        <w:spacing w:before="113"/>
        <w:ind w:left="0" w:right="33"/>
      </w:pPr>
      <w:r>
        <w:t>As for the 41% audited but found to be noncompliant, the Auditor of State’s Office is committed to</w:t>
      </w:r>
      <w:r>
        <w:rPr>
          <w:spacing w:val="1"/>
        </w:rPr>
        <w:t xml:space="preserve"> </w:t>
      </w:r>
      <w:r>
        <w:t>working with our partners to help them achieve compliance and receive their star rating. What we</w:t>
      </w:r>
      <w:r>
        <w:rPr>
          <w:spacing w:val="1"/>
        </w:rPr>
        <w:t xml:space="preserve"> </w:t>
      </w:r>
      <w:r>
        <w:t>typically found in this area was that public bodies that included a number of different offices under a</w:t>
      </w:r>
      <w:r>
        <w:rPr>
          <w:spacing w:val="1"/>
        </w:rPr>
        <w:t xml:space="preserve"> </w:t>
      </w:r>
      <w:r>
        <w:t xml:space="preserve">single umbrella </w:t>
      </w:r>
      <w:r>
        <w:lastRenderedPageBreak/>
        <w:t>such as counties, townships, and villages experienced some struggles achieving</w:t>
      </w:r>
      <w:r>
        <w:rPr>
          <w:spacing w:val="1"/>
        </w:rPr>
        <w:t xml:space="preserve"> </w:t>
      </w:r>
      <w:r>
        <w:t>compliance. Part of this challenge stems from the makeup of these entities, as a number of offices are</w:t>
      </w:r>
      <w:r>
        <w:rPr>
          <w:spacing w:val="1"/>
        </w:rPr>
        <w:t xml:space="preserve"> </w:t>
      </w:r>
      <w:r>
        <w:t xml:space="preserve">often housed under a single heading. For example, if one office or office holder in a county is found </w:t>
      </w:r>
      <w:r w:rsidR="00267523">
        <w:t>not to</w:t>
      </w:r>
      <w:r>
        <w:t xml:space="preserve"> be in compliance, the entire body is found to be noncompliant. Additionally, smaller units of</w:t>
      </w:r>
      <w:r>
        <w:rPr>
          <w:spacing w:val="1"/>
        </w:rPr>
        <w:t xml:space="preserve"> </w:t>
      </w:r>
      <w:r>
        <w:t>government do, at times, experience staffing and technology challenges. Understanding these reasons</w:t>
      </w:r>
      <w:r>
        <w:rPr>
          <w:spacing w:val="1"/>
        </w:rPr>
        <w:t xml:space="preserve"> </w:t>
      </w:r>
      <w:r>
        <w:t xml:space="preserve">for noncompliance does not excuse failure to comply with the law, but it does provide some context </w:t>
      </w:r>
      <w:r w:rsidR="00267523">
        <w:t>as these</w:t>
      </w:r>
      <w:r>
        <w:t xml:space="preserve"> entities move</w:t>
      </w:r>
      <w:r>
        <w:rPr>
          <w:spacing w:val="2"/>
        </w:rPr>
        <w:t xml:space="preserve"> </w:t>
      </w:r>
      <w:r>
        <w:t>toward compliance.</w:t>
      </w:r>
    </w:p>
    <w:p w14:paraId="16250F7E" w14:textId="73BB42A2" w:rsidR="008E6225" w:rsidRDefault="008E6225" w:rsidP="008E6225">
      <w:pPr>
        <w:pStyle w:val="TableParagraph"/>
        <w:tabs>
          <w:tab w:val="left" w:pos="4927"/>
          <w:tab w:val="left" w:pos="7152"/>
        </w:tabs>
        <w:spacing w:before="177" w:after="120"/>
        <w:ind w:left="0"/>
      </w:pPr>
      <w:r>
        <w:rPr>
          <w:rFonts w:ascii="Century Gothic"/>
          <w:b/>
          <w:sz w:val="28"/>
        </w:rPr>
        <w:t>Digging</w:t>
      </w:r>
      <w:r>
        <w:rPr>
          <w:rFonts w:ascii="Century Gothic"/>
          <w:b/>
          <w:spacing w:val="-5"/>
          <w:sz w:val="28"/>
        </w:rPr>
        <w:t xml:space="preserve"> </w:t>
      </w:r>
      <w:r>
        <w:rPr>
          <w:rFonts w:ascii="Century Gothic"/>
          <w:b/>
          <w:sz w:val="28"/>
        </w:rPr>
        <w:t>Deeper</w:t>
      </w:r>
    </w:p>
    <w:p w14:paraId="562F6825" w14:textId="246A5AD8" w:rsidR="008E6225" w:rsidRDefault="008E6225" w:rsidP="008E6225">
      <w:pPr>
        <w:pStyle w:val="TableParagraph"/>
        <w:tabs>
          <w:tab w:val="left" w:pos="4927"/>
        </w:tabs>
        <w:spacing w:before="118"/>
        <w:ind w:left="0"/>
      </w:pPr>
      <w:r>
        <w:t xml:space="preserve">While the occurrences of noncompliant entities </w:t>
      </w:r>
      <w:r w:rsidR="00267523">
        <w:t>are</w:t>
      </w:r>
      <w:r w:rsidR="00AC6335">
        <w:t xml:space="preserve"> </w:t>
      </w:r>
      <w:r>
        <w:rPr>
          <w:spacing w:val="-52"/>
        </w:rPr>
        <w:t xml:space="preserve"> </w:t>
      </w:r>
      <w:r>
        <w:t>concerning, positive notes exist beneath the</w:t>
      </w:r>
      <w:r>
        <w:rPr>
          <w:spacing w:val="1"/>
        </w:rPr>
        <w:t xml:space="preserve"> </w:t>
      </w:r>
      <w:r>
        <w:t>surface</w:t>
      </w:r>
      <w:r>
        <w:rPr>
          <w:spacing w:val="1"/>
        </w:rPr>
        <w:t xml:space="preserve"> </w:t>
      </w:r>
      <w:r>
        <w:t>of these figures. Many</w:t>
      </w:r>
      <w:r>
        <w:rPr>
          <w:spacing w:val="-1"/>
        </w:rPr>
        <w:t xml:space="preserve"> </w:t>
      </w:r>
      <w:r>
        <w:t>of the</w:t>
      </w:r>
      <w:r>
        <w:rPr>
          <w:spacing w:val="2"/>
        </w:rPr>
        <w:t xml:space="preserve"> </w:t>
      </w:r>
      <w:r>
        <w:t>noncompliant entities have very simple fixes, like</w:t>
      </w:r>
      <w:r>
        <w:rPr>
          <w:spacing w:val="1"/>
        </w:rPr>
        <w:t xml:space="preserve"> </w:t>
      </w:r>
      <w:r>
        <w:t>implementing a record retention schedule, posting</w:t>
      </w:r>
      <w:r>
        <w:rPr>
          <w:spacing w:val="-52"/>
        </w:rPr>
        <w:t xml:space="preserve"> </w:t>
      </w:r>
      <w:r>
        <w:t>their policy in public view or appointing a public</w:t>
      </w:r>
      <w:r>
        <w:rPr>
          <w:spacing w:val="1"/>
        </w:rPr>
        <w:t xml:space="preserve"> </w:t>
      </w:r>
      <w:r>
        <w:t>records custodian. While these are required steps</w:t>
      </w:r>
      <w:r>
        <w:rPr>
          <w:spacing w:val="1"/>
        </w:rPr>
        <w:t xml:space="preserve"> </w:t>
      </w:r>
      <w:r>
        <w:t>in achieving compliance, they can be easily</w:t>
      </w:r>
      <w:r>
        <w:rPr>
          <w:spacing w:val="1"/>
        </w:rPr>
        <w:t xml:space="preserve"> </w:t>
      </w:r>
      <w:r>
        <w:t>addressed.</w:t>
      </w:r>
      <w:r w:rsidR="00B05AC0">
        <w:t xml:space="preserve"> </w:t>
      </w:r>
      <w:r>
        <w:t>While</w:t>
      </w:r>
      <w:r>
        <w:rPr>
          <w:spacing w:val="6"/>
        </w:rPr>
        <w:t xml:space="preserve"> </w:t>
      </w:r>
      <w:r>
        <w:t>some</w:t>
      </w:r>
      <w:r>
        <w:rPr>
          <w:spacing w:val="7"/>
        </w:rPr>
        <w:t xml:space="preserve"> </w:t>
      </w:r>
      <w:r>
        <w:t>entities</w:t>
      </w:r>
      <w:r>
        <w:rPr>
          <w:spacing w:val="5"/>
        </w:rPr>
        <w:t xml:space="preserve"> </w:t>
      </w:r>
      <w:r>
        <w:t>certainly</w:t>
      </w:r>
      <w:r>
        <w:rPr>
          <w:spacing w:val="4"/>
        </w:rPr>
        <w:t xml:space="preserve"> </w:t>
      </w:r>
      <w:r>
        <w:t>deserve</w:t>
      </w:r>
      <w:r>
        <w:rPr>
          <w:spacing w:val="2"/>
        </w:rPr>
        <w:t xml:space="preserve"> </w:t>
      </w:r>
      <w:r>
        <w:t>a</w:t>
      </w:r>
      <w:r>
        <w:rPr>
          <w:spacing w:val="7"/>
        </w:rPr>
        <w:t xml:space="preserve"> </w:t>
      </w:r>
      <w:r>
        <w:t>closer</w:t>
      </w:r>
      <w:r>
        <w:rPr>
          <w:spacing w:val="1"/>
        </w:rPr>
        <w:t xml:space="preserve"> </w:t>
      </w:r>
      <w:r>
        <w:t>look for not properly maintaining public records,</w:t>
      </w:r>
      <w:r>
        <w:rPr>
          <w:spacing w:val="1"/>
        </w:rPr>
        <w:t xml:space="preserve"> </w:t>
      </w:r>
      <w:r>
        <w:t>many of our public officials simply need to be</w:t>
      </w:r>
      <w:r>
        <w:rPr>
          <w:spacing w:val="1"/>
        </w:rPr>
        <w:t xml:space="preserve"> </w:t>
      </w:r>
      <w:r>
        <w:t>made</w:t>
      </w:r>
      <w:r>
        <w:rPr>
          <w:spacing w:val="1"/>
        </w:rPr>
        <w:t xml:space="preserve"> </w:t>
      </w:r>
      <w:r>
        <w:t>aware</w:t>
      </w:r>
      <w:r>
        <w:rPr>
          <w:spacing w:val="1"/>
        </w:rPr>
        <w:t xml:space="preserve"> </w:t>
      </w:r>
      <w:r>
        <w:t>of these</w:t>
      </w:r>
      <w:r>
        <w:rPr>
          <w:spacing w:val="2"/>
        </w:rPr>
        <w:t xml:space="preserve"> </w:t>
      </w:r>
      <w:r>
        <w:t>issues</w:t>
      </w:r>
      <w:r>
        <w:rPr>
          <w:spacing w:val="-1"/>
        </w:rPr>
        <w:t xml:space="preserve"> </w:t>
      </w:r>
      <w:r>
        <w:t>so they</w:t>
      </w:r>
      <w:r>
        <w:rPr>
          <w:spacing w:val="-1"/>
        </w:rPr>
        <w:t xml:space="preserve"> </w:t>
      </w:r>
      <w:r>
        <w:t>can</w:t>
      </w:r>
      <w:r>
        <w:rPr>
          <w:spacing w:val="-1"/>
        </w:rPr>
        <w:t xml:space="preserve"> </w:t>
      </w:r>
      <w:r>
        <w:t>seek</w:t>
      </w:r>
      <w:r>
        <w:rPr>
          <w:spacing w:val="1"/>
        </w:rPr>
        <w:t xml:space="preserve"> </w:t>
      </w:r>
      <w:r>
        <w:t>remedy.</w:t>
      </w:r>
    </w:p>
    <w:p w14:paraId="49FA56C3" w14:textId="77777777" w:rsidR="008E6225" w:rsidRDefault="008E6225" w:rsidP="008E6225">
      <w:pPr>
        <w:pStyle w:val="TableParagraph"/>
        <w:spacing w:before="177"/>
        <w:ind w:left="0"/>
        <w:rPr>
          <w:rFonts w:ascii="Century Gothic"/>
          <w:b/>
          <w:sz w:val="28"/>
        </w:rPr>
      </w:pPr>
      <w:r>
        <w:rPr>
          <w:rFonts w:ascii="Century Gothic"/>
          <w:b/>
          <w:sz w:val="28"/>
        </w:rPr>
        <w:t>Encouraging</w:t>
      </w:r>
      <w:r>
        <w:rPr>
          <w:rFonts w:ascii="Century Gothic"/>
          <w:b/>
          <w:spacing w:val="-4"/>
          <w:sz w:val="28"/>
        </w:rPr>
        <w:t xml:space="preserve"> </w:t>
      </w:r>
      <w:r>
        <w:rPr>
          <w:rFonts w:ascii="Century Gothic"/>
          <w:b/>
          <w:sz w:val="28"/>
        </w:rPr>
        <w:t>Achievement</w:t>
      </w:r>
    </w:p>
    <w:p w14:paraId="23DF5879" w14:textId="2E19826A" w:rsidR="008E6225" w:rsidRDefault="008E6225" w:rsidP="008E6225">
      <w:pPr>
        <w:pStyle w:val="TableParagraph"/>
        <w:spacing w:before="118"/>
        <w:ind w:left="0" w:right="180"/>
      </w:pPr>
      <w:r>
        <w:t>The StaRS program was implemented to track compliance among public entities, help the public hold</w:t>
      </w:r>
      <w:r>
        <w:rPr>
          <w:spacing w:val="-52"/>
        </w:rPr>
        <w:t xml:space="preserve"> </w:t>
      </w:r>
      <w:r>
        <w:t>government accountable, and provide our public officials a standard and incentive in their efforts to</w:t>
      </w:r>
      <w:r>
        <w:rPr>
          <w:spacing w:val="1"/>
        </w:rPr>
        <w:t xml:space="preserve"> </w:t>
      </w:r>
      <w:r>
        <w:t>operate in an open and transparent manner. The first year of the program has identified both successes</w:t>
      </w:r>
      <w:r w:rsidR="00CC239B">
        <w:t xml:space="preserve"> </w:t>
      </w:r>
      <w:r>
        <w:rPr>
          <w:spacing w:val="-52"/>
        </w:rPr>
        <w:t xml:space="preserve"> </w:t>
      </w:r>
      <w:r>
        <w:t>and failures within our public-records compliance system while also illuminating opportunities for</w:t>
      </w:r>
      <w:r>
        <w:rPr>
          <w:spacing w:val="1"/>
        </w:rPr>
        <w:t xml:space="preserve"> </w:t>
      </w:r>
      <w:r>
        <w:t>public agencies to improve their efforts in serving the public. This program should lead to a greater</w:t>
      </w:r>
      <w:r>
        <w:rPr>
          <w:spacing w:val="1"/>
        </w:rPr>
        <w:t xml:space="preserve"> </w:t>
      </w:r>
      <w:r>
        <w:t>movement</w:t>
      </w:r>
      <w:r>
        <w:rPr>
          <w:spacing w:val="-3"/>
        </w:rPr>
        <w:t xml:space="preserve"> </w:t>
      </w:r>
      <w:r>
        <w:t>toward government</w:t>
      </w:r>
      <w:r>
        <w:rPr>
          <w:spacing w:val="-2"/>
        </w:rPr>
        <w:t xml:space="preserve"> </w:t>
      </w:r>
      <w:r>
        <w:t>transparency.</w:t>
      </w:r>
    </w:p>
    <w:p w14:paraId="4A51E76F" w14:textId="051A66FF" w:rsidR="008E6225" w:rsidRDefault="008E6225" w:rsidP="008E6225">
      <w:pPr>
        <w:pStyle w:val="TableParagraph"/>
        <w:spacing w:before="123"/>
        <w:ind w:left="0" w:right="295"/>
      </w:pPr>
      <w:r>
        <w:t xml:space="preserve">Ohio’s Sunshine Laws are available on the Auditor of State </w:t>
      </w:r>
      <w:hyperlink r:id="rId9">
        <w:r>
          <w:rPr>
            <w:color w:val="0462C1"/>
            <w:u w:val="single" w:color="0462C1"/>
          </w:rPr>
          <w:t>website</w:t>
        </w:r>
        <w:r>
          <w:rPr>
            <w:color w:val="0462C1"/>
          </w:rPr>
          <w:t xml:space="preserve"> </w:t>
        </w:r>
      </w:hyperlink>
      <w:r>
        <w:t>and are distributed to local</w:t>
      </w:r>
      <w:r>
        <w:rPr>
          <w:spacing w:val="1"/>
        </w:rPr>
        <w:t xml:space="preserve"> </w:t>
      </w:r>
      <w:r>
        <w:t>governments by the office. More information about the StaRS program and local government ratings</w:t>
      </w:r>
      <w:r w:rsidR="00B05AC0">
        <w:t xml:space="preserve"> </w:t>
      </w:r>
      <w:r>
        <w:rPr>
          <w:spacing w:val="-52"/>
        </w:rPr>
        <w:t xml:space="preserve"> </w:t>
      </w:r>
      <w:r>
        <w:t>can be</w:t>
      </w:r>
      <w:r>
        <w:rPr>
          <w:spacing w:val="-3"/>
        </w:rPr>
        <w:t xml:space="preserve"> </w:t>
      </w:r>
      <w:r>
        <w:t>found</w:t>
      </w:r>
      <w:r>
        <w:rPr>
          <w:spacing w:val="1"/>
        </w:rPr>
        <w:t xml:space="preserve"> </w:t>
      </w:r>
      <w:r w:rsidR="00FC7C2B">
        <w:t xml:space="preserve">in the </w:t>
      </w:r>
      <w:hyperlink r:id="rId10" w:history="1">
        <w:r w:rsidR="00FC7C2B" w:rsidRPr="00FC7C2B">
          <w:rPr>
            <w:rStyle w:val="Hyperlink"/>
          </w:rPr>
          <w:t>Open Government</w:t>
        </w:r>
      </w:hyperlink>
      <w:r w:rsidR="00FC7C2B">
        <w:t xml:space="preserve"> section</w:t>
      </w:r>
      <w:bookmarkStart w:id="0" w:name="_GoBack"/>
      <w:bookmarkEnd w:id="0"/>
      <w:r w:rsidR="00FC7C2B">
        <w:t>.</w:t>
      </w:r>
    </w:p>
    <w:p w14:paraId="4328601F" w14:textId="77777777" w:rsidR="008E6225" w:rsidRDefault="008E6225" w:rsidP="008E6225">
      <w:pPr>
        <w:pStyle w:val="TableParagraph"/>
        <w:spacing w:before="101" w:line="250" w:lineRule="atLeast"/>
        <w:ind w:left="0" w:right="351"/>
      </w:pPr>
      <w:r>
        <w:t>Now more than ever, government transparency is essential. State and Local governments must work</w:t>
      </w:r>
      <w:r>
        <w:rPr>
          <w:spacing w:val="-53"/>
        </w:rPr>
        <w:t xml:space="preserve"> </w:t>
      </w:r>
      <w:r>
        <w:t>together to ensure</w:t>
      </w:r>
      <w:r>
        <w:rPr>
          <w:spacing w:val="2"/>
        </w:rPr>
        <w:t xml:space="preserve"> </w:t>
      </w:r>
      <w:r>
        <w:t>the</w:t>
      </w:r>
      <w:r>
        <w:rPr>
          <w:spacing w:val="2"/>
        </w:rPr>
        <w:t xml:space="preserve"> </w:t>
      </w:r>
      <w:r>
        <w:t>public</w:t>
      </w:r>
      <w:r>
        <w:rPr>
          <w:spacing w:val="2"/>
        </w:rPr>
        <w:t xml:space="preserve"> </w:t>
      </w:r>
      <w:r>
        <w:t>has</w:t>
      </w:r>
      <w:r>
        <w:rPr>
          <w:spacing w:val="-1"/>
        </w:rPr>
        <w:t xml:space="preserve"> </w:t>
      </w:r>
      <w:r>
        <w:t>the</w:t>
      </w:r>
      <w:r>
        <w:rPr>
          <w:spacing w:val="2"/>
        </w:rPr>
        <w:t xml:space="preserve"> </w:t>
      </w:r>
      <w:r>
        <w:t>access</w:t>
      </w:r>
      <w:r>
        <w:rPr>
          <w:spacing w:val="-2"/>
        </w:rPr>
        <w:t xml:space="preserve"> </w:t>
      </w:r>
      <w:r>
        <w:t>it</w:t>
      </w:r>
      <w:r>
        <w:rPr>
          <w:spacing w:val="-2"/>
        </w:rPr>
        <w:t xml:space="preserve"> </w:t>
      </w:r>
      <w:r>
        <w:t>deserves.</w:t>
      </w:r>
    </w:p>
    <w:p w14:paraId="076869A4" w14:textId="77777777" w:rsidR="009E2501" w:rsidRDefault="009E2501" w:rsidP="008E6225"/>
    <w:sectPr w:rsidR="009E2501" w:rsidSect="00EE75FE">
      <w:pgSz w:w="12240" w:h="15840"/>
      <w:pgMar w:top="1060" w:right="1380" w:bottom="1037"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566EF"/>
    <w:rsid w:val="00021A4B"/>
    <w:rsid w:val="00267523"/>
    <w:rsid w:val="003566EF"/>
    <w:rsid w:val="003760AE"/>
    <w:rsid w:val="005A3394"/>
    <w:rsid w:val="008A3D2B"/>
    <w:rsid w:val="008A74CA"/>
    <w:rsid w:val="008E6225"/>
    <w:rsid w:val="009E2501"/>
    <w:rsid w:val="009F722F"/>
    <w:rsid w:val="00A47A8D"/>
    <w:rsid w:val="00AC6335"/>
    <w:rsid w:val="00B05AC0"/>
    <w:rsid w:val="00BF1BE7"/>
    <w:rsid w:val="00CC239B"/>
    <w:rsid w:val="00EE75FE"/>
    <w:rsid w:val="00FC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E6A3"/>
  <w15:docId w15:val="{D1D29011-1CFB-3A41-8539-0D1651F9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2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335"/>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FC7C2B"/>
    <w:rPr>
      <w:color w:val="0000FF" w:themeColor="hyperlink"/>
      <w:u w:val="single"/>
    </w:rPr>
  </w:style>
  <w:style w:type="character" w:styleId="UnresolvedMention">
    <w:name w:val="Unresolved Mention"/>
    <w:basedOn w:val="DefaultParagraphFont"/>
    <w:uiPriority w:val="99"/>
    <w:semiHidden/>
    <w:unhideWhenUsed/>
    <w:rsid w:val="00FC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ohioauditor.gov/open/stars.html" TargetMode="External"/><Relationship Id="rId10" Type="http://schemas.openxmlformats.org/officeDocument/2006/relationships/hyperlink" Target="https://ohioauditor.gov/open/stars.html" TargetMode="External"/><Relationship Id="rId4" Type="http://schemas.openxmlformats.org/officeDocument/2006/relationships/image" Target="media/image1.jpeg"/><Relationship Id="rId9" Type="http://schemas.openxmlformats.org/officeDocument/2006/relationships/hyperlink" Target="https://ohioauditor.gov/op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Zackary Ziegler</dc:creator>
  <cp:lastModifiedBy>Kieren Metts</cp:lastModifiedBy>
  <cp:revision>8</cp:revision>
  <dcterms:created xsi:type="dcterms:W3CDTF">2022-03-10T17:40:00Z</dcterms:created>
  <dcterms:modified xsi:type="dcterms:W3CDTF">2022-05-09T13:53:00Z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vt:lpwstr>
  </property>
  <property fmtid="{D5CDD505-2E9C-101B-9397-08002B2CF9AE}" pid="4" name="LastSaved">
    <vt:filetime>2022-03-10T00:00:00Z</vt:filetime>
  </property>
</Properties>
</file>